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eastAsia" w:ascii="方正小标宋_GBK" w:hAnsi="方正小标宋_GBK" w:eastAsia="方正小标宋_GBK" w:cs="方正小标宋_GBK"/>
          <w:color w:val="000000"/>
          <w:sz w:val="36"/>
          <w:szCs w:val="36"/>
        </w:rPr>
      </w:pPr>
      <w:bookmarkStart w:id="0" w:name="_Hlk102659035"/>
      <w:r>
        <w:rPr>
          <w:rFonts w:hint="eastAsia" w:ascii="方正小标宋_GBK" w:hAnsi="方正小标宋_GBK" w:eastAsia="方正小标宋_GBK" w:cs="方正小标宋_GBK"/>
          <w:color w:val="000000"/>
          <w:sz w:val="36"/>
          <w:szCs w:val="36"/>
        </w:rPr>
        <w:t>贵州省塑料一次性餐饮具</w:t>
      </w:r>
      <w:bookmarkEnd w:id="0"/>
      <w:r>
        <w:rPr>
          <w:rFonts w:hint="eastAsia" w:ascii="方正小标宋_GBK" w:hAnsi="方正小标宋_GBK" w:eastAsia="方正小标宋_GBK" w:cs="方正小标宋_GBK"/>
          <w:color w:val="000000"/>
          <w:sz w:val="36"/>
          <w:szCs w:val="36"/>
        </w:rPr>
        <w:t>产品质量监督抽查实施细则</w:t>
      </w:r>
    </w:p>
    <w:p>
      <w:pPr>
        <w:spacing w:line="440" w:lineRule="exact"/>
        <w:jc w:val="center"/>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0"/>
          <w:szCs w:val="30"/>
        </w:rPr>
        <w:t>（202</w:t>
      </w:r>
      <w:r>
        <w:rPr>
          <w:rFonts w:hint="eastAsia" w:ascii="楷体_GB2312" w:hAnsi="楷体_GB2312" w:eastAsia="楷体_GB2312" w:cs="楷体_GB2312"/>
          <w:color w:val="000000"/>
          <w:sz w:val="30"/>
          <w:szCs w:val="30"/>
          <w:lang w:val="en-US" w:eastAsia="zh-CN"/>
        </w:rPr>
        <w:t>6</w:t>
      </w:r>
      <w:r>
        <w:rPr>
          <w:rFonts w:hint="eastAsia" w:ascii="楷体_GB2312" w:hAnsi="楷体_GB2312" w:eastAsia="楷体_GB2312" w:cs="楷体_GB2312"/>
          <w:color w:val="000000"/>
          <w:sz w:val="30"/>
          <w:szCs w:val="30"/>
        </w:rPr>
        <w:t>年版）</w:t>
      </w:r>
    </w:p>
    <w:p>
      <w:pPr>
        <w:adjustRightInd w:val="0"/>
        <w:snapToGrid w:val="0"/>
        <w:spacing w:line="440" w:lineRule="exact"/>
        <w:outlineLvl w:val="1"/>
        <w:rPr>
          <w:rFonts w:eastAsia="黑体" w:cs="黑体"/>
          <w:szCs w:val="21"/>
        </w:rPr>
      </w:pPr>
      <w:r>
        <w:rPr>
          <w:rFonts w:hint="eastAsia" w:eastAsia="黑体" w:cs="黑体"/>
          <w:szCs w:val="21"/>
        </w:rPr>
        <w:t>1 抽样方法</w:t>
      </w:r>
    </w:p>
    <w:p>
      <w:pPr>
        <w:adjustRightInd w:val="0"/>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以随机抽样的方式在被抽样生产者、销售者的待销产品中抽取。</w:t>
      </w:r>
    </w:p>
    <w:p>
      <w:pPr>
        <w:adjustRightInd w:val="0"/>
        <w:snapToGrid w:val="0"/>
        <w:spacing w:line="360" w:lineRule="auto"/>
        <w:ind w:firstLine="420" w:firstLineChars="200"/>
        <w:outlineLvl w:val="1"/>
        <w:rPr>
          <w:rFonts w:hint="default" w:ascii="Times New Roman" w:hAnsi="Times New Roman" w:cs="Times New Roman"/>
          <w:szCs w:val="21"/>
        </w:rPr>
      </w:pPr>
      <w:r>
        <w:rPr>
          <w:rFonts w:hint="default" w:ascii="Times New Roman" w:hAnsi="Times New Roman" w:cs="Times New Roman"/>
          <w:szCs w:val="21"/>
        </w:rPr>
        <w:t>随机数一般可使用随机数表等方法产生。</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每批次产品抽取不少于3份最小销售独立包装，每份样品抽样数量不少于40只/个，其中2份作为检验样品，1份作为备用样品。每份样品质量应不少于100g且与食品接触面的最小表面积应不小于10dm</w:t>
      </w:r>
      <w:r>
        <w:rPr>
          <w:rFonts w:hint="default" w:ascii="Times New Roman" w:hAnsi="Times New Roman" w:cs="Times New Roman"/>
          <w:szCs w:val="21"/>
          <w:vertAlign w:val="superscript"/>
        </w:rPr>
        <w:t>2</w:t>
      </w:r>
      <w:r>
        <w:rPr>
          <w:rFonts w:hint="default" w:ascii="Times New Roman" w:hAnsi="Times New Roman" w:cs="Times New Roman"/>
          <w:szCs w:val="21"/>
        </w:rPr>
        <w:t>（若最小销售包装不是40只/个的整数倍，需按采样数折算，保证检样不少于80只/个，备样不少于40只/个，避免损坏原包装）。</w:t>
      </w:r>
    </w:p>
    <w:p>
      <w:pPr>
        <w:snapToGrid w:val="0"/>
        <w:spacing w:line="360" w:lineRule="auto"/>
        <w:ind w:firstLine="420" w:firstLineChars="200"/>
        <w:rPr>
          <w:rFonts w:hint="default" w:ascii="Times New Roman" w:hAnsi="Times New Roman" w:cs="Times New Roman"/>
          <w:szCs w:val="21"/>
        </w:rPr>
      </w:pPr>
    </w:p>
    <w:p>
      <w:pPr>
        <w:adjustRightInd w:val="0"/>
        <w:snapToGrid w:val="0"/>
        <w:spacing w:line="440" w:lineRule="exact"/>
        <w:outlineLvl w:val="1"/>
        <w:rPr>
          <w:rFonts w:hint="default" w:ascii="Times New Roman" w:hAnsi="Times New Roman" w:eastAsia="黑体" w:cs="Times New Roman"/>
          <w:szCs w:val="21"/>
        </w:rPr>
      </w:pPr>
      <w:r>
        <w:rPr>
          <w:rFonts w:hint="default" w:ascii="Times New Roman" w:hAnsi="Times New Roman" w:eastAsia="黑体" w:cs="Times New Roman"/>
          <w:szCs w:val="21"/>
        </w:rPr>
        <w:t>2 检验依据</w:t>
      </w:r>
    </w:p>
    <w:p>
      <w:pPr>
        <w:adjustRightInd w:val="0"/>
        <w:snapToGrid w:val="0"/>
        <w:jc w:val="center"/>
        <w:rPr>
          <w:rFonts w:hint="default" w:ascii="Times New Roman" w:hAnsi="Times New Roman" w:eastAsia="宋体" w:cs="Times New Roman"/>
          <w:szCs w:val="21"/>
          <w:lang w:val="en-US" w:eastAsia="zh-CN"/>
        </w:rPr>
      </w:pPr>
      <w:r>
        <w:rPr>
          <w:rFonts w:hint="eastAsia" w:cs="Times New Roman"/>
          <w:szCs w:val="21"/>
          <w:lang w:val="en-US" w:eastAsia="zh-CN"/>
        </w:rPr>
        <w:t>表1 流通领域检测项目</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8"/>
        <w:gridCol w:w="4182"/>
        <w:gridCol w:w="4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blHeader/>
          <w:jc w:val="center"/>
        </w:trPr>
        <w:tc>
          <w:tcPr>
            <w:tcW w:w="408" w:type="pct"/>
            <w:vAlign w:val="center"/>
          </w:tcPr>
          <w:p>
            <w:pPr>
              <w:snapToGrid w:val="0"/>
              <w:spacing w:line="440" w:lineRule="exact"/>
              <w:jc w:val="center"/>
              <w:rPr>
                <w:rFonts w:hint="eastAsia" w:ascii="黑体" w:hAnsi="黑体" w:eastAsia="黑体" w:cs="黑体"/>
                <w:color w:val="000000"/>
                <w:szCs w:val="21"/>
              </w:rPr>
            </w:pPr>
            <w:bookmarkStart w:id="1" w:name="_Hlk40347690"/>
            <w:r>
              <w:rPr>
                <w:rFonts w:hint="eastAsia" w:ascii="黑体" w:hAnsi="黑体" w:eastAsia="黑体" w:cs="黑体"/>
                <w:color w:val="000000"/>
                <w:szCs w:val="21"/>
              </w:rPr>
              <w:t>序号</w:t>
            </w:r>
          </w:p>
        </w:tc>
        <w:tc>
          <w:tcPr>
            <w:tcW w:w="2279" w:type="pct"/>
            <w:vAlign w:val="center"/>
          </w:tcPr>
          <w:p>
            <w:pPr>
              <w:snapToGrid w:val="0"/>
              <w:spacing w:line="440" w:lineRule="exact"/>
              <w:jc w:val="center"/>
              <w:rPr>
                <w:rFonts w:hint="eastAsia" w:ascii="黑体" w:hAnsi="黑体" w:eastAsia="黑体" w:cs="黑体"/>
                <w:color w:val="000000"/>
                <w:szCs w:val="21"/>
              </w:rPr>
            </w:pPr>
            <w:r>
              <w:rPr>
                <w:rFonts w:hint="eastAsia" w:ascii="黑体" w:hAnsi="黑体" w:eastAsia="黑体" w:cs="黑体"/>
                <w:color w:val="000000"/>
                <w:szCs w:val="21"/>
              </w:rPr>
              <w:t>检验项目</w:t>
            </w:r>
          </w:p>
        </w:tc>
        <w:tc>
          <w:tcPr>
            <w:tcW w:w="2311" w:type="pct"/>
            <w:vAlign w:val="center"/>
          </w:tcPr>
          <w:p>
            <w:pPr>
              <w:snapToGrid w:val="0"/>
              <w:spacing w:line="440" w:lineRule="exact"/>
              <w:jc w:val="center"/>
              <w:rPr>
                <w:rFonts w:hint="eastAsia" w:ascii="黑体" w:hAnsi="黑体" w:eastAsia="黑体" w:cs="黑体"/>
                <w:color w:val="000000"/>
                <w:szCs w:val="21"/>
              </w:rPr>
            </w:pPr>
            <w:r>
              <w:rPr>
                <w:rFonts w:hint="eastAsia" w:ascii="黑体" w:hAnsi="黑体" w:eastAsia="黑体" w:cs="黑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408" w:type="pct"/>
            <w:vAlign w:val="center"/>
          </w:tcPr>
          <w:p>
            <w:pPr>
              <w:numPr>
                <w:ilvl w:val="0"/>
                <w:numId w:val="1"/>
              </w:numPr>
              <w:adjustRightInd w:val="0"/>
              <w:snapToGrid w:val="0"/>
              <w:jc w:val="center"/>
              <w:rPr>
                <w:rFonts w:hint="default" w:ascii="Times New Roman" w:hAnsi="Times New Roman" w:cs="Times New Roman"/>
                <w:szCs w:val="21"/>
              </w:rPr>
            </w:pPr>
          </w:p>
        </w:tc>
        <w:tc>
          <w:tcPr>
            <w:tcW w:w="2279"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感官要求</w:t>
            </w:r>
          </w:p>
        </w:tc>
        <w:tc>
          <w:tcPr>
            <w:tcW w:w="2311"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 4806.7—2023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408" w:type="pct"/>
            <w:vAlign w:val="center"/>
          </w:tcPr>
          <w:p>
            <w:pPr>
              <w:numPr>
                <w:ilvl w:val="0"/>
                <w:numId w:val="1"/>
              </w:numPr>
              <w:adjustRightInd w:val="0"/>
              <w:snapToGrid w:val="0"/>
              <w:jc w:val="center"/>
              <w:rPr>
                <w:rFonts w:hint="default" w:ascii="Times New Roman" w:hAnsi="Times New Roman" w:cs="Times New Roman"/>
                <w:szCs w:val="21"/>
              </w:rPr>
            </w:pPr>
          </w:p>
        </w:tc>
        <w:tc>
          <w:tcPr>
            <w:tcW w:w="2279"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总迁移量</w:t>
            </w:r>
          </w:p>
        </w:tc>
        <w:tc>
          <w:tcPr>
            <w:tcW w:w="2311"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408" w:type="pct"/>
            <w:vAlign w:val="center"/>
          </w:tcPr>
          <w:p>
            <w:pPr>
              <w:numPr>
                <w:ilvl w:val="0"/>
                <w:numId w:val="1"/>
              </w:numPr>
              <w:adjustRightInd w:val="0"/>
              <w:snapToGrid w:val="0"/>
              <w:jc w:val="center"/>
              <w:rPr>
                <w:rFonts w:hint="default" w:ascii="Times New Roman" w:hAnsi="Times New Roman" w:cs="Times New Roman"/>
                <w:szCs w:val="21"/>
              </w:rPr>
            </w:pPr>
          </w:p>
        </w:tc>
        <w:tc>
          <w:tcPr>
            <w:tcW w:w="2279"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高锰酸钾消耗量</w:t>
            </w:r>
          </w:p>
        </w:tc>
        <w:tc>
          <w:tcPr>
            <w:tcW w:w="2311"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 xml:space="preserve">GB 31604.2—2016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408" w:type="pct"/>
            <w:vAlign w:val="center"/>
          </w:tcPr>
          <w:p>
            <w:pPr>
              <w:numPr>
                <w:ilvl w:val="0"/>
                <w:numId w:val="1"/>
              </w:numPr>
              <w:adjustRightInd w:val="0"/>
              <w:snapToGrid w:val="0"/>
              <w:jc w:val="center"/>
              <w:rPr>
                <w:rFonts w:hint="default" w:ascii="Times New Roman" w:hAnsi="Times New Roman" w:cs="Times New Roman"/>
                <w:szCs w:val="21"/>
              </w:rPr>
            </w:pPr>
          </w:p>
        </w:tc>
        <w:tc>
          <w:tcPr>
            <w:tcW w:w="2279"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重金属（以Pb计）</w:t>
            </w:r>
          </w:p>
        </w:tc>
        <w:tc>
          <w:tcPr>
            <w:tcW w:w="2311"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 xml:space="preserve">GB 31604.9—2016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408" w:type="pct"/>
            <w:vAlign w:val="center"/>
          </w:tcPr>
          <w:p>
            <w:pPr>
              <w:numPr>
                <w:ilvl w:val="0"/>
                <w:numId w:val="1"/>
              </w:numPr>
              <w:adjustRightInd w:val="0"/>
              <w:snapToGrid w:val="0"/>
              <w:jc w:val="center"/>
              <w:rPr>
                <w:rFonts w:hint="default" w:ascii="Times New Roman" w:hAnsi="Times New Roman" w:cs="Times New Roman"/>
                <w:szCs w:val="21"/>
              </w:rPr>
            </w:pPr>
          </w:p>
        </w:tc>
        <w:tc>
          <w:tcPr>
            <w:tcW w:w="2279"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脱色试验</w:t>
            </w:r>
          </w:p>
        </w:tc>
        <w:tc>
          <w:tcPr>
            <w:tcW w:w="2311"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exact"/>
          <w:jc w:val="center"/>
        </w:trPr>
        <w:tc>
          <w:tcPr>
            <w:tcW w:w="408" w:type="pct"/>
            <w:vAlign w:val="center"/>
          </w:tcPr>
          <w:p>
            <w:pPr>
              <w:numPr>
                <w:ilvl w:val="0"/>
                <w:numId w:val="1"/>
              </w:numPr>
              <w:adjustRightInd w:val="0"/>
              <w:snapToGrid w:val="0"/>
              <w:jc w:val="center"/>
              <w:rPr>
                <w:rFonts w:hint="default" w:ascii="Times New Roman" w:hAnsi="Times New Roman" w:cs="Times New Roman"/>
                <w:szCs w:val="21"/>
              </w:rPr>
            </w:pPr>
          </w:p>
        </w:tc>
        <w:tc>
          <w:tcPr>
            <w:tcW w:w="2279"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芳香族伯胺迁移总量</w:t>
            </w:r>
          </w:p>
        </w:tc>
        <w:tc>
          <w:tcPr>
            <w:tcW w:w="2311"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 31604.52—2021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408" w:type="pct"/>
            <w:vAlign w:val="center"/>
          </w:tcPr>
          <w:p>
            <w:pPr>
              <w:numPr>
                <w:ilvl w:val="0"/>
                <w:numId w:val="1"/>
              </w:numPr>
              <w:adjustRightInd w:val="0"/>
              <w:snapToGrid w:val="0"/>
              <w:jc w:val="center"/>
              <w:rPr>
                <w:rFonts w:hint="default" w:ascii="Times New Roman" w:hAnsi="Times New Roman" w:cs="Times New Roman"/>
                <w:szCs w:val="21"/>
              </w:rPr>
            </w:pPr>
          </w:p>
        </w:tc>
        <w:tc>
          <w:tcPr>
            <w:tcW w:w="2279" w:type="pct"/>
            <w:vAlign w:val="center"/>
          </w:tcPr>
          <w:p>
            <w:pPr>
              <w:adjustRightInd w:val="0"/>
              <w:snapToGrid w:val="0"/>
              <w:rPr>
                <w:rFonts w:hint="default" w:ascii="Times New Roman" w:hAnsi="Times New Roman" w:cs="Times New Roman"/>
                <w:szCs w:val="21"/>
              </w:rPr>
            </w:pPr>
            <w:r>
              <w:rPr>
                <w:rFonts w:hint="default" w:ascii="Times New Roman" w:hAnsi="Times New Roman" w:cs="Times New Roman"/>
                <w:szCs w:val="21"/>
              </w:rPr>
              <w:t>特定迁移总量（以己内酰胺计）（限PA材质）</w:t>
            </w:r>
          </w:p>
        </w:tc>
        <w:tc>
          <w:tcPr>
            <w:tcW w:w="2311"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 xml:space="preserve">GB 31604.19—2016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408" w:type="pct"/>
            <w:vAlign w:val="center"/>
          </w:tcPr>
          <w:p>
            <w:pPr>
              <w:numPr>
                <w:ilvl w:val="0"/>
                <w:numId w:val="1"/>
              </w:numPr>
              <w:adjustRightInd w:val="0"/>
              <w:snapToGrid w:val="0"/>
              <w:jc w:val="center"/>
              <w:rPr>
                <w:rFonts w:hint="default" w:ascii="Times New Roman" w:hAnsi="Times New Roman" w:cs="Times New Roman"/>
                <w:szCs w:val="21"/>
              </w:rPr>
            </w:pPr>
          </w:p>
        </w:tc>
        <w:tc>
          <w:tcPr>
            <w:tcW w:w="2279"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氯乙烯特定迁移量（限PVC、PVDC材质）</w:t>
            </w:r>
          </w:p>
        </w:tc>
        <w:tc>
          <w:tcPr>
            <w:tcW w:w="2311" w:type="pct"/>
            <w:vAlign w:val="center"/>
          </w:tcPr>
          <w:p>
            <w:pPr>
              <w:adjustRightInd w:val="0"/>
              <w:snapToGrid w:val="0"/>
              <w:jc w:val="center"/>
              <w:rPr>
                <w:rFonts w:hint="default" w:ascii="Times New Roman" w:hAnsi="Times New Roman" w:eastAsia="宋体" w:cs="Times New Roman"/>
                <w:szCs w:val="21"/>
                <w:lang w:val="en-US" w:eastAsia="zh-CN"/>
              </w:rPr>
            </w:pPr>
            <w:r>
              <w:rPr>
                <w:rFonts w:hint="default" w:ascii="Times New Roman" w:hAnsi="Times New Roman" w:cs="Times New Roman"/>
                <w:szCs w:val="21"/>
              </w:rPr>
              <w:t>GB 31604.31—20</w:t>
            </w:r>
            <w:r>
              <w:rPr>
                <w:rFonts w:hint="eastAsia" w:cs="Times New Roman"/>
                <w:szCs w:val="21"/>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408" w:type="pct"/>
            <w:vAlign w:val="center"/>
          </w:tcPr>
          <w:p>
            <w:pPr>
              <w:numPr>
                <w:ilvl w:val="0"/>
                <w:numId w:val="1"/>
              </w:numPr>
              <w:adjustRightInd w:val="0"/>
              <w:snapToGrid w:val="0"/>
              <w:jc w:val="center"/>
              <w:rPr>
                <w:rFonts w:hint="default" w:ascii="Times New Roman" w:hAnsi="Times New Roman" w:cs="Times New Roman"/>
                <w:szCs w:val="21"/>
              </w:rPr>
            </w:pPr>
          </w:p>
        </w:tc>
        <w:tc>
          <w:tcPr>
            <w:tcW w:w="2279"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大肠菌群</w:t>
            </w:r>
          </w:p>
        </w:tc>
        <w:tc>
          <w:tcPr>
            <w:tcW w:w="2311"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 xml:space="preserve">GB 14934—2016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408" w:type="pct"/>
            <w:vAlign w:val="center"/>
          </w:tcPr>
          <w:p>
            <w:pPr>
              <w:numPr>
                <w:ilvl w:val="0"/>
                <w:numId w:val="1"/>
              </w:numPr>
              <w:adjustRightInd w:val="0"/>
              <w:snapToGrid w:val="0"/>
              <w:jc w:val="center"/>
              <w:rPr>
                <w:rFonts w:hint="default" w:ascii="Times New Roman" w:hAnsi="Times New Roman" w:cs="Times New Roman"/>
                <w:szCs w:val="21"/>
              </w:rPr>
            </w:pPr>
          </w:p>
        </w:tc>
        <w:tc>
          <w:tcPr>
            <w:tcW w:w="2279"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沙门氏菌</w:t>
            </w:r>
          </w:p>
        </w:tc>
        <w:tc>
          <w:tcPr>
            <w:tcW w:w="2311"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 14934—2016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408" w:type="pct"/>
            <w:vAlign w:val="center"/>
          </w:tcPr>
          <w:p>
            <w:pPr>
              <w:numPr>
                <w:ilvl w:val="0"/>
                <w:numId w:val="1"/>
              </w:numPr>
              <w:adjustRightInd w:val="0"/>
              <w:snapToGrid w:val="0"/>
              <w:jc w:val="center"/>
              <w:rPr>
                <w:rFonts w:hint="default" w:ascii="Times New Roman" w:hAnsi="Times New Roman" w:cs="Times New Roman"/>
                <w:szCs w:val="21"/>
              </w:rPr>
            </w:pPr>
          </w:p>
        </w:tc>
        <w:tc>
          <w:tcPr>
            <w:tcW w:w="2279"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霉菌计数</w:t>
            </w:r>
          </w:p>
        </w:tc>
        <w:tc>
          <w:tcPr>
            <w:tcW w:w="2311"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 xml:space="preserve">GB 4789.15—2016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exact"/>
          <w:jc w:val="center"/>
        </w:trPr>
        <w:tc>
          <w:tcPr>
            <w:tcW w:w="408" w:type="pct"/>
            <w:vAlign w:val="center"/>
          </w:tcPr>
          <w:p>
            <w:pPr>
              <w:numPr>
                <w:ilvl w:val="0"/>
                <w:numId w:val="1"/>
              </w:numPr>
              <w:adjustRightInd w:val="0"/>
              <w:snapToGrid w:val="0"/>
              <w:jc w:val="center"/>
              <w:rPr>
                <w:rFonts w:hint="default" w:ascii="Times New Roman" w:hAnsi="Times New Roman" w:cs="Times New Roman"/>
                <w:szCs w:val="21"/>
              </w:rPr>
            </w:pPr>
          </w:p>
        </w:tc>
        <w:tc>
          <w:tcPr>
            <w:tcW w:w="2279"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特定迁移总量（以对苯二甲酸计）（限PET、PB(A)T材质）</w:t>
            </w:r>
          </w:p>
        </w:tc>
        <w:tc>
          <w:tcPr>
            <w:tcW w:w="2311" w:type="pct"/>
            <w:vAlign w:val="center"/>
          </w:tcPr>
          <w:p>
            <w:pPr>
              <w:adjustRightInd w:val="0"/>
              <w:snapToGrid w:val="0"/>
              <w:jc w:val="center"/>
              <w:rPr>
                <w:rFonts w:hint="default" w:ascii="Times New Roman" w:hAnsi="Times New Roman" w:eastAsia="宋体" w:cs="Times New Roman"/>
                <w:szCs w:val="21"/>
                <w:lang w:val="en-US" w:eastAsia="zh-CN"/>
              </w:rPr>
            </w:pPr>
            <w:r>
              <w:rPr>
                <w:rFonts w:hint="default" w:ascii="Times New Roman" w:hAnsi="Times New Roman" w:cs="Times New Roman"/>
                <w:szCs w:val="21"/>
              </w:rPr>
              <w:t>GB 31604.21—20</w:t>
            </w:r>
            <w:r>
              <w:rPr>
                <w:rFonts w:hint="eastAsia" w:cs="Times New Roman"/>
                <w:szCs w:val="21"/>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408" w:type="pct"/>
            <w:vAlign w:val="center"/>
          </w:tcPr>
          <w:p>
            <w:pPr>
              <w:numPr>
                <w:ilvl w:val="0"/>
                <w:numId w:val="1"/>
              </w:numPr>
              <w:adjustRightInd w:val="0"/>
              <w:snapToGrid w:val="0"/>
              <w:jc w:val="center"/>
              <w:rPr>
                <w:rFonts w:hint="default" w:ascii="Times New Roman" w:hAnsi="Times New Roman" w:cs="Times New Roman"/>
                <w:szCs w:val="21"/>
              </w:rPr>
            </w:pPr>
          </w:p>
        </w:tc>
        <w:tc>
          <w:tcPr>
            <w:tcW w:w="2279"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特定迁移总量（以乙二醇计）（限PET材质）</w:t>
            </w:r>
          </w:p>
        </w:tc>
        <w:tc>
          <w:tcPr>
            <w:tcW w:w="2311"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 31604.44—2016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408" w:type="pct"/>
            <w:vAlign w:val="center"/>
          </w:tcPr>
          <w:p>
            <w:pPr>
              <w:numPr>
                <w:ilvl w:val="0"/>
                <w:numId w:val="1"/>
              </w:numPr>
              <w:adjustRightInd w:val="0"/>
              <w:snapToGrid w:val="0"/>
              <w:jc w:val="center"/>
              <w:rPr>
                <w:rFonts w:hint="default" w:ascii="Times New Roman" w:hAnsi="Times New Roman" w:cs="Times New Roman"/>
                <w:szCs w:val="21"/>
              </w:rPr>
            </w:pPr>
          </w:p>
        </w:tc>
        <w:tc>
          <w:tcPr>
            <w:tcW w:w="2279"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特定迁移总量（以1,4-丁二醇计）（限PB(A)T材质）</w:t>
            </w:r>
          </w:p>
        </w:tc>
        <w:tc>
          <w:tcPr>
            <w:tcW w:w="2311"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rPr>
              <w:t>GB 31604.51—2021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exact"/>
          <w:jc w:val="center"/>
        </w:trPr>
        <w:tc>
          <w:tcPr>
            <w:tcW w:w="408" w:type="pct"/>
            <w:vAlign w:val="center"/>
          </w:tcPr>
          <w:p>
            <w:pPr>
              <w:numPr>
                <w:ilvl w:val="0"/>
                <w:numId w:val="1"/>
              </w:numPr>
              <w:adjustRightInd w:val="0"/>
              <w:snapToGrid w:val="0"/>
              <w:jc w:val="center"/>
              <w:rPr>
                <w:rFonts w:hint="default" w:ascii="Times New Roman" w:hAnsi="Times New Roman" w:cs="Times New Roman"/>
                <w:szCs w:val="21"/>
              </w:rPr>
            </w:pPr>
          </w:p>
        </w:tc>
        <w:tc>
          <w:tcPr>
            <w:tcW w:w="2279"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1,3-丁二烯特定迁移量（限有丁二烯单体的聚合物）</w:t>
            </w:r>
          </w:p>
          <w:p>
            <w:pPr>
              <w:adjustRightInd w:val="0"/>
              <w:snapToGrid w:val="0"/>
              <w:jc w:val="center"/>
              <w:rPr>
                <w:rFonts w:hint="default" w:ascii="Times New Roman" w:hAnsi="Times New Roman" w:cs="Times New Roman"/>
                <w:szCs w:val="21"/>
              </w:rPr>
            </w:pPr>
          </w:p>
        </w:tc>
        <w:tc>
          <w:tcPr>
            <w:tcW w:w="2311"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 31604.12—2016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exact"/>
          <w:jc w:val="center"/>
        </w:trPr>
        <w:tc>
          <w:tcPr>
            <w:tcW w:w="408" w:type="pct"/>
            <w:vAlign w:val="center"/>
          </w:tcPr>
          <w:p>
            <w:pPr>
              <w:numPr>
                <w:ilvl w:val="0"/>
                <w:numId w:val="1"/>
              </w:numPr>
              <w:adjustRightInd w:val="0"/>
              <w:snapToGrid w:val="0"/>
              <w:jc w:val="center"/>
              <w:rPr>
                <w:rFonts w:hint="default" w:ascii="Times New Roman" w:hAnsi="Times New Roman" w:cs="Times New Roman"/>
                <w:szCs w:val="21"/>
              </w:rPr>
            </w:pPr>
          </w:p>
        </w:tc>
        <w:tc>
          <w:tcPr>
            <w:tcW w:w="2279"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苯乙烯和乙苯残留量</w:t>
            </w:r>
          </w:p>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（限PS材质)</w:t>
            </w:r>
          </w:p>
        </w:tc>
        <w:tc>
          <w:tcPr>
            <w:tcW w:w="2311"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 31604.16—2016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exact"/>
          <w:jc w:val="center"/>
        </w:trPr>
        <w:tc>
          <w:tcPr>
            <w:tcW w:w="408" w:type="pct"/>
            <w:vAlign w:val="center"/>
          </w:tcPr>
          <w:p>
            <w:pPr>
              <w:numPr>
                <w:ilvl w:val="0"/>
                <w:numId w:val="1"/>
              </w:numPr>
              <w:adjustRightInd w:val="0"/>
              <w:snapToGrid w:val="0"/>
              <w:jc w:val="center"/>
              <w:rPr>
                <w:rFonts w:hint="default" w:ascii="Times New Roman" w:hAnsi="Times New Roman" w:cs="Times New Roman"/>
                <w:szCs w:val="21"/>
              </w:rPr>
            </w:pPr>
          </w:p>
        </w:tc>
        <w:tc>
          <w:tcPr>
            <w:tcW w:w="2279"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邻苯类增塑剂特定迁移量</w:t>
            </w:r>
          </w:p>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（限PVC材质）</w:t>
            </w:r>
          </w:p>
        </w:tc>
        <w:tc>
          <w:tcPr>
            <w:tcW w:w="2311" w:type="pct"/>
            <w:vAlign w:val="center"/>
          </w:tcPr>
          <w:p>
            <w:pPr>
              <w:adjustRightInd w:val="0"/>
              <w:snapToGrid w:val="0"/>
              <w:jc w:val="center"/>
              <w:rPr>
                <w:rFonts w:hint="default" w:ascii="Times New Roman" w:hAnsi="Times New Roman" w:cs="Times New Roman"/>
                <w:szCs w:val="21"/>
                <w:lang w:val="en-US" w:eastAsia="zh-CN"/>
              </w:rPr>
            </w:pPr>
            <w:r>
              <w:rPr>
                <w:rFonts w:hint="default" w:ascii="Times New Roman" w:hAnsi="Times New Roman" w:cs="Times New Roman"/>
                <w:szCs w:val="21"/>
              </w:rPr>
              <w:t>GB 31604.30—20</w:t>
            </w:r>
            <w:r>
              <w:rPr>
                <w:rFonts w:hint="eastAsia" w:ascii="Times New Roman" w:hAnsi="Times New Roman" w:cs="Times New Roman"/>
                <w:szCs w:val="21"/>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0" w:hRule="exact"/>
          <w:jc w:val="center"/>
        </w:trPr>
        <w:tc>
          <w:tcPr>
            <w:tcW w:w="5000" w:type="pct"/>
            <w:gridSpan w:val="3"/>
          </w:tcPr>
          <w:p>
            <w:pPr>
              <w:adjustRightInd w:val="0"/>
              <w:snapToGrid w:val="0"/>
              <w:jc w:val="left"/>
              <w:rPr>
                <w:rFonts w:hint="default" w:ascii="Times New Roman" w:hAnsi="Times New Roman" w:cs="Times New Roman"/>
                <w:color w:val="000000"/>
              </w:rPr>
            </w:pPr>
            <w:r>
              <w:rPr>
                <w:rFonts w:hint="default" w:ascii="Times New Roman" w:hAnsi="Times New Roman" w:cs="Times New Roman"/>
                <w:color w:val="000000"/>
              </w:rPr>
              <w:t>注：1.高锰酸钾消耗量不适用于执行标准为GB 4806.7</w:t>
            </w:r>
            <w:r>
              <w:rPr>
                <w:rFonts w:hint="default" w:ascii="Times New Roman" w:hAnsi="Times New Roman" w:cs="Times New Roman"/>
                <w:szCs w:val="21"/>
              </w:rPr>
              <w:t>—</w:t>
            </w:r>
            <w:r>
              <w:rPr>
                <w:rFonts w:hint="default" w:ascii="Times New Roman" w:hAnsi="Times New Roman" w:cs="Times New Roman"/>
                <w:color w:val="000000"/>
              </w:rPr>
              <w:t>2023中的淀粉含量≥40%的淀粉基塑料材料及制品。</w:t>
            </w:r>
          </w:p>
          <w:p>
            <w:pPr>
              <w:adjustRightInd w:val="0"/>
              <w:snapToGrid w:val="0"/>
              <w:jc w:val="left"/>
              <w:rPr>
                <w:rFonts w:hint="default" w:ascii="Times New Roman" w:hAnsi="Times New Roman" w:cs="Times New Roman"/>
                <w:color w:val="000000"/>
              </w:rPr>
            </w:pPr>
            <w:r>
              <w:rPr>
                <w:rFonts w:hint="default" w:ascii="Times New Roman" w:hAnsi="Times New Roman" w:cs="Times New Roman"/>
                <w:color w:val="000000"/>
                <w:szCs w:val="21"/>
              </w:rPr>
              <w:t>2.</w:t>
            </w:r>
            <w:r>
              <w:rPr>
                <w:rFonts w:hint="default" w:ascii="Times New Roman" w:hAnsi="Times New Roman" w:cs="Times New Roman"/>
                <w:color w:val="000000"/>
              </w:rPr>
              <w:t>芳香族伯胺迁移总量适用于执行标准为GB 4806.7</w:t>
            </w:r>
            <w:r>
              <w:rPr>
                <w:rFonts w:hint="default" w:ascii="Times New Roman" w:hAnsi="Times New Roman" w:cs="Times New Roman"/>
                <w:szCs w:val="21"/>
              </w:rPr>
              <w:t>—</w:t>
            </w:r>
            <w:r>
              <w:rPr>
                <w:rFonts w:hint="default" w:ascii="Times New Roman" w:hAnsi="Times New Roman" w:cs="Times New Roman"/>
                <w:color w:val="000000"/>
              </w:rPr>
              <w:t>2023，且含有芳香族异氰酸酯和偶氮类着色剂等可能产生芳香族伯胺类物质的产品。</w:t>
            </w:r>
          </w:p>
          <w:p>
            <w:pPr>
              <w:adjustRightInd w:val="0"/>
              <w:snapToGrid w:val="0"/>
              <w:jc w:val="left"/>
              <w:rPr>
                <w:rFonts w:hint="default" w:ascii="Times New Roman" w:hAnsi="Times New Roman" w:cs="Times New Roman"/>
                <w:color w:val="000000"/>
              </w:rPr>
            </w:pPr>
            <w:r>
              <w:rPr>
                <w:rFonts w:hint="default" w:ascii="Times New Roman" w:hAnsi="Times New Roman" w:cs="Times New Roman"/>
                <w:color w:val="000000"/>
              </w:rPr>
              <w:t>3. 脱色试验仅适用于添加了着色剂的产品。</w:t>
            </w:r>
          </w:p>
          <w:p>
            <w:pPr>
              <w:adjustRightInd w:val="0"/>
              <w:snapToGrid w:val="0"/>
              <w:jc w:val="left"/>
              <w:rPr>
                <w:rFonts w:hint="default" w:ascii="Times New Roman" w:hAnsi="Times New Roman" w:cs="Times New Roman"/>
                <w:color w:val="000000"/>
              </w:rPr>
            </w:pPr>
            <w:r>
              <w:rPr>
                <w:rFonts w:hint="eastAsia" w:cs="Times New Roman"/>
                <w:color w:val="000000"/>
                <w:lang w:val="en-US" w:eastAsia="zh-CN"/>
              </w:rPr>
              <w:t>4. 执行</w:t>
            </w:r>
            <w:r>
              <w:rPr>
                <w:rFonts w:hint="default" w:ascii="Times New Roman" w:hAnsi="Times New Roman" w:cs="Times New Roman"/>
              </w:rPr>
              <w:fldChar w:fldCharType="begin"/>
            </w:r>
            <w:r>
              <w:rPr>
                <w:rFonts w:hint="default" w:ascii="Times New Roman" w:hAnsi="Times New Roman" w:cs="Times New Roman"/>
              </w:rPr>
              <w:instrText xml:space="preserve"> HYPERLINK "http://www.bzsb.info/javascript:void(0);" </w:instrText>
            </w:r>
            <w:r>
              <w:rPr>
                <w:rFonts w:hint="default" w:ascii="Times New Roman" w:hAnsi="Times New Roman" w:cs="Times New Roman"/>
              </w:rPr>
              <w:fldChar w:fldCharType="separate"/>
            </w:r>
            <w:r>
              <w:rPr>
                <w:rFonts w:hint="default" w:ascii="Times New Roman" w:hAnsi="Times New Roman" w:cs="Times New Roman"/>
                <w:szCs w:val="21"/>
              </w:rPr>
              <w:t>GB/T 18006.1—20</w:t>
            </w:r>
            <w:r>
              <w:rPr>
                <w:rFonts w:hint="eastAsia" w:cs="Times New Roman"/>
                <w:szCs w:val="21"/>
                <w:lang w:val="en-US" w:eastAsia="zh-CN"/>
              </w:rPr>
              <w:t>2</w:t>
            </w:r>
            <w:r>
              <w:rPr>
                <w:rFonts w:hint="default" w:ascii="Times New Roman" w:hAnsi="Times New Roman" w:cs="Times New Roman"/>
                <w:szCs w:val="21"/>
              </w:rPr>
              <w:fldChar w:fldCharType="end"/>
            </w:r>
            <w:r>
              <w:rPr>
                <w:rFonts w:hint="eastAsia" w:cs="Times New Roman"/>
                <w:szCs w:val="21"/>
                <w:lang w:val="en-US" w:eastAsia="zh-CN"/>
              </w:rPr>
              <w:t>5</w:t>
            </w:r>
            <w:r>
              <w:rPr>
                <w:rFonts w:hint="default" w:ascii="Times New Roman" w:hAnsi="Times New Roman" w:cs="Times New Roman"/>
              </w:rPr>
              <w:t xml:space="preserve"> </w:t>
            </w:r>
            <w:r>
              <w:rPr>
                <w:rFonts w:hint="eastAsia" w:cs="Times New Roman"/>
                <w:lang w:eastAsia="zh-CN"/>
              </w:rPr>
              <w:t>《</w:t>
            </w:r>
            <w:r>
              <w:rPr>
                <w:rFonts w:hint="default" w:ascii="Times New Roman" w:hAnsi="Times New Roman" w:cs="Times New Roman"/>
                <w:szCs w:val="21"/>
              </w:rPr>
              <w:t>塑料一次性餐饮具通用技术要求</w:t>
            </w:r>
            <w:r>
              <w:rPr>
                <w:rFonts w:hint="eastAsia" w:cs="Times New Roman"/>
                <w:lang w:eastAsia="zh-CN"/>
              </w:rPr>
              <w:t>》</w:t>
            </w:r>
            <w:r>
              <w:rPr>
                <w:rFonts w:hint="eastAsia" w:cs="Times New Roman"/>
                <w:szCs w:val="21"/>
                <w:lang w:val="en-US" w:eastAsia="zh-CN"/>
              </w:rPr>
              <w:t>不测</w:t>
            </w:r>
            <w:r>
              <w:rPr>
                <w:rFonts w:hint="default" w:ascii="Times New Roman" w:hAnsi="Times New Roman" w:cs="Times New Roman"/>
                <w:szCs w:val="21"/>
              </w:rPr>
              <w:t>大肠菌群</w:t>
            </w:r>
            <w:r>
              <w:rPr>
                <w:rFonts w:hint="eastAsia" w:cs="Times New Roman"/>
                <w:szCs w:val="21"/>
                <w:lang w:eastAsia="zh-CN"/>
              </w:rPr>
              <w:t>、</w:t>
            </w:r>
            <w:r>
              <w:rPr>
                <w:rFonts w:hint="default" w:ascii="Times New Roman" w:hAnsi="Times New Roman" w:cs="Times New Roman"/>
                <w:szCs w:val="21"/>
              </w:rPr>
              <w:t>沙门氏菌</w:t>
            </w:r>
            <w:r>
              <w:rPr>
                <w:rFonts w:hint="eastAsia" w:cs="Times New Roman"/>
                <w:szCs w:val="21"/>
                <w:lang w:eastAsia="zh-CN"/>
              </w:rPr>
              <w:t>、</w:t>
            </w:r>
            <w:r>
              <w:rPr>
                <w:rFonts w:hint="eastAsia" w:cs="Times New Roman"/>
                <w:szCs w:val="21"/>
                <w:lang w:val="en-US" w:eastAsia="zh-CN"/>
              </w:rPr>
              <w:t>霉菌。</w:t>
            </w:r>
          </w:p>
        </w:tc>
      </w:tr>
    </w:tbl>
    <w:p>
      <w:pPr>
        <w:adjustRightInd w:val="0"/>
        <w:snapToGrid w:val="0"/>
        <w:spacing w:line="440" w:lineRule="exact"/>
        <w:ind w:firstLine="2730" w:firstLineChars="1300"/>
        <w:rPr>
          <w:rFonts w:hint="eastAsia" w:cs="Times New Roman"/>
          <w:color w:val="000000"/>
          <w:szCs w:val="21"/>
          <w:lang w:val="en-US" w:eastAsia="zh-CN"/>
        </w:rPr>
      </w:pPr>
      <w:r>
        <w:rPr>
          <w:rFonts w:hint="eastAsia" w:cs="Times New Roman"/>
          <w:color w:val="000000"/>
          <w:szCs w:val="21"/>
          <w:lang w:val="en-US" w:eastAsia="zh-CN"/>
        </w:rPr>
        <w:t xml:space="preserve">  </w:t>
      </w:r>
    </w:p>
    <w:p>
      <w:pPr>
        <w:adjustRightInd w:val="0"/>
        <w:snapToGrid w:val="0"/>
        <w:spacing w:line="440" w:lineRule="exact"/>
        <w:jc w:val="center"/>
        <w:rPr>
          <w:rFonts w:hint="default" w:ascii="Times New Roman" w:hAnsi="Times New Roman" w:eastAsia="宋体" w:cs="Times New Roman"/>
          <w:color w:val="000000"/>
          <w:szCs w:val="21"/>
          <w:lang w:val="en-US" w:eastAsia="zh-CN"/>
        </w:rPr>
      </w:pPr>
      <w:r>
        <w:rPr>
          <w:rFonts w:hint="eastAsia" w:cs="Times New Roman"/>
          <w:color w:val="000000"/>
          <w:szCs w:val="21"/>
          <w:lang w:val="en-US" w:eastAsia="zh-CN"/>
        </w:rPr>
        <w:t>表2   生产领域检验项目</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6"/>
        <w:gridCol w:w="4182"/>
        <w:gridCol w:w="42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blHeader/>
          <w:jc w:val="center"/>
        </w:trPr>
        <w:tc>
          <w:tcPr>
            <w:tcW w:w="407" w:type="pct"/>
            <w:vAlign w:val="center"/>
          </w:tcPr>
          <w:p>
            <w:pPr>
              <w:snapToGrid w:val="0"/>
              <w:spacing w:line="440" w:lineRule="exact"/>
              <w:jc w:val="center"/>
              <w:rPr>
                <w:rFonts w:hint="eastAsia" w:ascii="黑体" w:hAnsi="黑体" w:eastAsia="黑体" w:cs="黑体"/>
                <w:color w:val="000000"/>
                <w:szCs w:val="21"/>
              </w:rPr>
            </w:pPr>
            <w:bookmarkStart w:id="2" w:name="_GoBack" w:colFirst="0" w:colLast="2"/>
            <w:r>
              <w:rPr>
                <w:rFonts w:hint="eastAsia" w:ascii="黑体" w:hAnsi="黑体" w:eastAsia="黑体" w:cs="黑体"/>
                <w:color w:val="000000"/>
                <w:szCs w:val="21"/>
              </w:rPr>
              <w:t>序号</w:t>
            </w:r>
          </w:p>
        </w:tc>
        <w:tc>
          <w:tcPr>
            <w:tcW w:w="2279" w:type="pct"/>
            <w:vAlign w:val="center"/>
          </w:tcPr>
          <w:p>
            <w:pPr>
              <w:snapToGrid w:val="0"/>
              <w:spacing w:line="440" w:lineRule="exact"/>
              <w:jc w:val="center"/>
              <w:rPr>
                <w:rFonts w:hint="eastAsia" w:ascii="黑体" w:hAnsi="黑体" w:eastAsia="黑体" w:cs="黑体"/>
                <w:color w:val="000000"/>
                <w:szCs w:val="21"/>
              </w:rPr>
            </w:pPr>
            <w:r>
              <w:rPr>
                <w:rFonts w:hint="eastAsia" w:ascii="黑体" w:hAnsi="黑体" w:eastAsia="黑体" w:cs="黑体"/>
                <w:color w:val="000000"/>
                <w:szCs w:val="21"/>
              </w:rPr>
              <w:t>检验项目</w:t>
            </w:r>
          </w:p>
        </w:tc>
        <w:tc>
          <w:tcPr>
            <w:tcW w:w="2313" w:type="pct"/>
            <w:vAlign w:val="center"/>
          </w:tcPr>
          <w:p>
            <w:pPr>
              <w:snapToGrid w:val="0"/>
              <w:spacing w:line="440" w:lineRule="exact"/>
              <w:jc w:val="center"/>
              <w:rPr>
                <w:rFonts w:hint="eastAsia" w:ascii="黑体" w:hAnsi="黑体" w:eastAsia="黑体" w:cs="黑体"/>
                <w:color w:val="000000"/>
                <w:szCs w:val="21"/>
              </w:rPr>
            </w:pPr>
            <w:r>
              <w:rPr>
                <w:rFonts w:hint="eastAsia" w:ascii="黑体" w:hAnsi="黑体" w:eastAsia="黑体" w:cs="黑体"/>
                <w:color w:val="000000"/>
                <w:szCs w:val="21"/>
              </w:rPr>
              <w:t>检验方法</w:t>
            </w:r>
          </w:p>
        </w:tc>
      </w:tr>
      <w:bookmarkEnd w:id="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407" w:type="pct"/>
            <w:vAlign w:val="center"/>
          </w:tcPr>
          <w:p>
            <w:pPr>
              <w:numPr>
                <w:ilvl w:val="0"/>
                <w:numId w:val="1"/>
              </w:numPr>
              <w:adjustRightInd w:val="0"/>
              <w:snapToGrid w:val="0"/>
              <w:jc w:val="center"/>
              <w:rPr>
                <w:rFonts w:hint="default" w:ascii="Times New Roman" w:hAnsi="Times New Roman" w:cs="Times New Roman"/>
                <w:szCs w:val="21"/>
              </w:rPr>
            </w:pPr>
          </w:p>
        </w:tc>
        <w:tc>
          <w:tcPr>
            <w:tcW w:w="2279"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感官要求</w:t>
            </w:r>
          </w:p>
        </w:tc>
        <w:tc>
          <w:tcPr>
            <w:tcW w:w="2313"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 4806.7—2023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407" w:type="pct"/>
            <w:vAlign w:val="center"/>
          </w:tcPr>
          <w:p>
            <w:pPr>
              <w:numPr>
                <w:ilvl w:val="0"/>
                <w:numId w:val="1"/>
              </w:numPr>
              <w:adjustRightInd w:val="0"/>
              <w:snapToGrid w:val="0"/>
              <w:jc w:val="center"/>
              <w:rPr>
                <w:rFonts w:hint="default" w:ascii="Times New Roman" w:hAnsi="Times New Roman" w:cs="Times New Roman"/>
                <w:szCs w:val="21"/>
              </w:rPr>
            </w:pPr>
          </w:p>
        </w:tc>
        <w:tc>
          <w:tcPr>
            <w:tcW w:w="2279"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总迁移量</w:t>
            </w:r>
          </w:p>
        </w:tc>
        <w:tc>
          <w:tcPr>
            <w:tcW w:w="2313"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407" w:type="pct"/>
            <w:vAlign w:val="center"/>
          </w:tcPr>
          <w:p>
            <w:pPr>
              <w:numPr>
                <w:ilvl w:val="0"/>
                <w:numId w:val="1"/>
              </w:numPr>
              <w:adjustRightInd w:val="0"/>
              <w:snapToGrid w:val="0"/>
              <w:jc w:val="center"/>
              <w:rPr>
                <w:rFonts w:hint="default" w:ascii="Times New Roman" w:hAnsi="Times New Roman" w:cs="Times New Roman"/>
                <w:szCs w:val="21"/>
              </w:rPr>
            </w:pPr>
          </w:p>
        </w:tc>
        <w:tc>
          <w:tcPr>
            <w:tcW w:w="2279"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高锰酸钾消耗量</w:t>
            </w:r>
          </w:p>
        </w:tc>
        <w:tc>
          <w:tcPr>
            <w:tcW w:w="2313"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 xml:space="preserve">GB 31604.2—2016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407" w:type="pct"/>
            <w:vAlign w:val="center"/>
          </w:tcPr>
          <w:p>
            <w:pPr>
              <w:numPr>
                <w:ilvl w:val="0"/>
                <w:numId w:val="1"/>
              </w:numPr>
              <w:adjustRightInd w:val="0"/>
              <w:snapToGrid w:val="0"/>
              <w:jc w:val="center"/>
              <w:rPr>
                <w:rFonts w:hint="default" w:ascii="Times New Roman" w:hAnsi="Times New Roman" w:cs="Times New Roman"/>
                <w:szCs w:val="21"/>
              </w:rPr>
            </w:pPr>
          </w:p>
        </w:tc>
        <w:tc>
          <w:tcPr>
            <w:tcW w:w="2279"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重金属（以Pb计）</w:t>
            </w:r>
          </w:p>
        </w:tc>
        <w:tc>
          <w:tcPr>
            <w:tcW w:w="2313"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 xml:space="preserve">GB 31604.9—2016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407" w:type="pct"/>
            <w:vAlign w:val="center"/>
          </w:tcPr>
          <w:p>
            <w:pPr>
              <w:numPr>
                <w:ilvl w:val="0"/>
                <w:numId w:val="1"/>
              </w:numPr>
              <w:adjustRightInd w:val="0"/>
              <w:snapToGrid w:val="0"/>
              <w:jc w:val="center"/>
              <w:rPr>
                <w:rFonts w:hint="default" w:ascii="Times New Roman" w:hAnsi="Times New Roman" w:cs="Times New Roman"/>
                <w:szCs w:val="21"/>
              </w:rPr>
            </w:pPr>
          </w:p>
        </w:tc>
        <w:tc>
          <w:tcPr>
            <w:tcW w:w="2279"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脱色试验</w:t>
            </w:r>
          </w:p>
        </w:tc>
        <w:tc>
          <w:tcPr>
            <w:tcW w:w="2313"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exact"/>
          <w:jc w:val="center"/>
        </w:trPr>
        <w:tc>
          <w:tcPr>
            <w:tcW w:w="407" w:type="pct"/>
            <w:vAlign w:val="center"/>
          </w:tcPr>
          <w:p>
            <w:pPr>
              <w:numPr>
                <w:ilvl w:val="0"/>
                <w:numId w:val="1"/>
              </w:numPr>
              <w:adjustRightInd w:val="0"/>
              <w:snapToGrid w:val="0"/>
              <w:jc w:val="center"/>
              <w:rPr>
                <w:rFonts w:hint="default" w:ascii="Times New Roman" w:hAnsi="Times New Roman" w:cs="Times New Roman"/>
                <w:szCs w:val="21"/>
              </w:rPr>
            </w:pPr>
          </w:p>
        </w:tc>
        <w:tc>
          <w:tcPr>
            <w:tcW w:w="2279"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芳香族伯胺迁移总量</w:t>
            </w:r>
          </w:p>
        </w:tc>
        <w:tc>
          <w:tcPr>
            <w:tcW w:w="2313"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 31604.52—2021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407" w:type="pct"/>
            <w:vAlign w:val="center"/>
          </w:tcPr>
          <w:p>
            <w:pPr>
              <w:numPr>
                <w:ilvl w:val="0"/>
                <w:numId w:val="1"/>
              </w:numPr>
              <w:adjustRightInd w:val="0"/>
              <w:snapToGrid w:val="0"/>
              <w:jc w:val="center"/>
              <w:rPr>
                <w:rFonts w:hint="default" w:ascii="Times New Roman" w:hAnsi="Times New Roman" w:cs="Times New Roman"/>
                <w:szCs w:val="21"/>
              </w:rPr>
            </w:pPr>
          </w:p>
        </w:tc>
        <w:tc>
          <w:tcPr>
            <w:tcW w:w="2279" w:type="pct"/>
            <w:vAlign w:val="center"/>
          </w:tcPr>
          <w:p>
            <w:pPr>
              <w:adjustRightInd w:val="0"/>
              <w:snapToGrid w:val="0"/>
              <w:rPr>
                <w:rFonts w:hint="default" w:ascii="Times New Roman" w:hAnsi="Times New Roman" w:cs="Times New Roman"/>
                <w:szCs w:val="21"/>
              </w:rPr>
            </w:pPr>
            <w:r>
              <w:rPr>
                <w:rFonts w:hint="default" w:ascii="Times New Roman" w:hAnsi="Times New Roman" w:cs="Times New Roman"/>
                <w:szCs w:val="21"/>
              </w:rPr>
              <w:t>特定迁移总量（以己内酰胺计）（限PA材质）</w:t>
            </w:r>
          </w:p>
        </w:tc>
        <w:tc>
          <w:tcPr>
            <w:tcW w:w="2313"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 xml:space="preserve">GB 31604.19—2016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407" w:type="pct"/>
            <w:vAlign w:val="center"/>
          </w:tcPr>
          <w:p>
            <w:pPr>
              <w:numPr>
                <w:ilvl w:val="0"/>
                <w:numId w:val="1"/>
              </w:numPr>
              <w:adjustRightInd w:val="0"/>
              <w:snapToGrid w:val="0"/>
              <w:jc w:val="center"/>
              <w:rPr>
                <w:rFonts w:hint="default" w:ascii="Times New Roman" w:hAnsi="Times New Roman" w:cs="Times New Roman"/>
                <w:szCs w:val="21"/>
              </w:rPr>
            </w:pPr>
          </w:p>
        </w:tc>
        <w:tc>
          <w:tcPr>
            <w:tcW w:w="2279"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氯乙烯特定迁移量（限PVC、PVDC材质）</w:t>
            </w:r>
          </w:p>
        </w:tc>
        <w:tc>
          <w:tcPr>
            <w:tcW w:w="2313" w:type="pct"/>
            <w:vAlign w:val="center"/>
          </w:tcPr>
          <w:p>
            <w:pPr>
              <w:adjustRightInd w:val="0"/>
              <w:snapToGrid w:val="0"/>
              <w:jc w:val="center"/>
              <w:rPr>
                <w:rFonts w:hint="default" w:ascii="Times New Roman" w:hAnsi="Times New Roman" w:eastAsia="宋体" w:cs="Times New Roman"/>
                <w:szCs w:val="21"/>
                <w:lang w:val="en-US" w:eastAsia="zh-CN"/>
              </w:rPr>
            </w:pPr>
            <w:r>
              <w:rPr>
                <w:rFonts w:hint="default" w:ascii="Times New Roman" w:hAnsi="Times New Roman" w:cs="Times New Roman"/>
                <w:szCs w:val="21"/>
              </w:rPr>
              <w:t>GB 31604.31—20</w:t>
            </w:r>
            <w:r>
              <w:rPr>
                <w:rFonts w:hint="eastAsia" w:cs="Times New Roman"/>
                <w:szCs w:val="21"/>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407" w:type="pct"/>
            <w:vAlign w:val="center"/>
          </w:tcPr>
          <w:p>
            <w:pPr>
              <w:numPr>
                <w:ilvl w:val="0"/>
                <w:numId w:val="1"/>
              </w:numPr>
              <w:adjustRightInd w:val="0"/>
              <w:snapToGrid w:val="0"/>
              <w:jc w:val="center"/>
              <w:rPr>
                <w:rFonts w:hint="default" w:ascii="Times New Roman" w:hAnsi="Times New Roman" w:cs="Times New Roman"/>
                <w:szCs w:val="21"/>
              </w:rPr>
            </w:pPr>
          </w:p>
        </w:tc>
        <w:tc>
          <w:tcPr>
            <w:tcW w:w="2279"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大肠菌群</w:t>
            </w:r>
          </w:p>
        </w:tc>
        <w:tc>
          <w:tcPr>
            <w:tcW w:w="2313"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 xml:space="preserve">GB 14934—2016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407" w:type="pct"/>
            <w:vAlign w:val="center"/>
          </w:tcPr>
          <w:p>
            <w:pPr>
              <w:numPr>
                <w:ilvl w:val="0"/>
                <w:numId w:val="1"/>
              </w:numPr>
              <w:adjustRightInd w:val="0"/>
              <w:snapToGrid w:val="0"/>
              <w:jc w:val="center"/>
              <w:rPr>
                <w:rFonts w:hint="default" w:ascii="Times New Roman" w:hAnsi="Times New Roman" w:cs="Times New Roman"/>
                <w:szCs w:val="21"/>
              </w:rPr>
            </w:pPr>
          </w:p>
        </w:tc>
        <w:tc>
          <w:tcPr>
            <w:tcW w:w="2279"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沙门氏菌</w:t>
            </w:r>
          </w:p>
        </w:tc>
        <w:tc>
          <w:tcPr>
            <w:tcW w:w="2313"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 14934—2016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exact"/>
          <w:jc w:val="center"/>
        </w:trPr>
        <w:tc>
          <w:tcPr>
            <w:tcW w:w="407" w:type="pct"/>
            <w:vAlign w:val="center"/>
          </w:tcPr>
          <w:p>
            <w:pPr>
              <w:numPr>
                <w:ilvl w:val="0"/>
                <w:numId w:val="1"/>
              </w:numPr>
              <w:adjustRightInd w:val="0"/>
              <w:snapToGrid w:val="0"/>
              <w:jc w:val="center"/>
              <w:rPr>
                <w:rFonts w:hint="default" w:ascii="Times New Roman" w:hAnsi="Times New Roman" w:cs="Times New Roman"/>
                <w:szCs w:val="21"/>
              </w:rPr>
            </w:pPr>
          </w:p>
        </w:tc>
        <w:tc>
          <w:tcPr>
            <w:tcW w:w="2279"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霉菌计数</w:t>
            </w:r>
          </w:p>
        </w:tc>
        <w:tc>
          <w:tcPr>
            <w:tcW w:w="2313"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 xml:space="preserve">GB 4789.15—2016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exact"/>
          <w:jc w:val="center"/>
        </w:trPr>
        <w:tc>
          <w:tcPr>
            <w:tcW w:w="407" w:type="pct"/>
            <w:vAlign w:val="center"/>
          </w:tcPr>
          <w:p>
            <w:pPr>
              <w:numPr>
                <w:ilvl w:val="0"/>
                <w:numId w:val="1"/>
              </w:numPr>
              <w:adjustRightInd w:val="0"/>
              <w:snapToGrid w:val="0"/>
              <w:jc w:val="center"/>
              <w:rPr>
                <w:rFonts w:hint="default" w:ascii="Times New Roman" w:hAnsi="Times New Roman" w:cs="Times New Roman"/>
                <w:szCs w:val="21"/>
              </w:rPr>
            </w:pPr>
          </w:p>
        </w:tc>
        <w:tc>
          <w:tcPr>
            <w:tcW w:w="2279"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特定迁移总量（以对苯二甲酸计）（限PET、PB(A)T材质）</w:t>
            </w:r>
          </w:p>
        </w:tc>
        <w:tc>
          <w:tcPr>
            <w:tcW w:w="2313" w:type="pct"/>
            <w:vAlign w:val="center"/>
          </w:tcPr>
          <w:p>
            <w:pPr>
              <w:adjustRightInd w:val="0"/>
              <w:snapToGrid w:val="0"/>
              <w:jc w:val="center"/>
              <w:rPr>
                <w:rFonts w:hint="default" w:ascii="Times New Roman" w:hAnsi="Times New Roman" w:eastAsia="宋体" w:cs="Times New Roman"/>
                <w:szCs w:val="21"/>
                <w:lang w:val="en-US" w:eastAsia="zh-CN"/>
              </w:rPr>
            </w:pPr>
            <w:r>
              <w:rPr>
                <w:rFonts w:hint="default" w:ascii="Times New Roman" w:hAnsi="Times New Roman" w:cs="Times New Roman"/>
                <w:szCs w:val="21"/>
              </w:rPr>
              <w:t>GB 31604.21—20</w:t>
            </w:r>
            <w:r>
              <w:rPr>
                <w:rFonts w:hint="eastAsia" w:cs="Times New Roman"/>
                <w:szCs w:val="21"/>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407" w:type="pct"/>
            <w:vAlign w:val="center"/>
          </w:tcPr>
          <w:p>
            <w:pPr>
              <w:numPr>
                <w:ilvl w:val="0"/>
                <w:numId w:val="1"/>
              </w:numPr>
              <w:adjustRightInd w:val="0"/>
              <w:snapToGrid w:val="0"/>
              <w:jc w:val="center"/>
              <w:rPr>
                <w:rFonts w:hint="default" w:ascii="Times New Roman" w:hAnsi="Times New Roman" w:cs="Times New Roman"/>
                <w:szCs w:val="21"/>
              </w:rPr>
            </w:pPr>
          </w:p>
        </w:tc>
        <w:tc>
          <w:tcPr>
            <w:tcW w:w="2279"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特定迁移总量（以乙二醇计）（限PET材质）</w:t>
            </w:r>
          </w:p>
        </w:tc>
        <w:tc>
          <w:tcPr>
            <w:tcW w:w="2313"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 31604.44—2016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407" w:type="pct"/>
            <w:vAlign w:val="center"/>
          </w:tcPr>
          <w:p>
            <w:pPr>
              <w:numPr>
                <w:ilvl w:val="0"/>
                <w:numId w:val="1"/>
              </w:numPr>
              <w:adjustRightInd w:val="0"/>
              <w:snapToGrid w:val="0"/>
              <w:jc w:val="center"/>
              <w:rPr>
                <w:rFonts w:hint="default" w:ascii="Times New Roman" w:hAnsi="Times New Roman" w:cs="Times New Roman"/>
                <w:szCs w:val="21"/>
              </w:rPr>
            </w:pPr>
          </w:p>
        </w:tc>
        <w:tc>
          <w:tcPr>
            <w:tcW w:w="2279"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特定迁移总量（以1,4-丁二醇计）（限PB(A)T材质）</w:t>
            </w:r>
          </w:p>
        </w:tc>
        <w:tc>
          <w:tcPr>
            <w:tcW w:w="2313"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rPr>
              <w:t>GB 31604.51—2021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exact"/>
          <w:jc w:val="center"/>
        </w:trPr>
        <w:tc>
          <w:tcPr>
            <w:tcW w:w="407" w:type="pct"/>
            <w:vAlign w:val="center"/>
          </w:tcPr>
          <w:p>
            <w:pPr>
              <w:numPr>
                <w:ilvl w:val="0"/>
                <w:numId w:val="1"/>
              </w:numPr>
              <w:adjustRightInd w:val="0"/>
              <w:snapToGrid w:val="0"/>
              <w:jc w:val="center"/>
              <w:rPr>
                <w:rFonts w:hint="default" w:ascii="Times New Roman" w:hAnsi="Times New Roman" w:cs="Times New Roman"/>
                <w:szCs w:val="21"/>
              </w:rPr>
            </w:pPr>
          </w:p>
        </w:tc>
        <w:tc>
          <w:tcPr>
            <w:tcW w:w="2279"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1,3-丁二烯特定迁移量（限有丁二烯单体的聚合物）</w:t>
            </w:r>
          </w:p>
          <w:p>
            <w:pPr>
              <w:adjustRightInd w:val="0"/>
              <w:snapToGrid w:val="0"/>
              <w:jc w:val="center"/>
              <w:rPr>
                <w:rFonts w:hint="default" w:ascii="Times New Roman" w:hAnsi="Times New Roman" w:cs="Times New Roman"/>
                <w:szCs w:val="21"/>
              </w:rPr>
            </w:pPr>
          </w:p>
        </w:tc>
        <w:tc>
          <w:tcPr>
            <w:tcW w:w="2313"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 31604.12—2016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exact"/>
          <w:jc w:val="center"/>
        </w:trPr>
        <w:tc>
          <w:tcPr>
            <w:tcW w:w="407" w:type="pct"/>
            <w:vAlign w:val="center"/>
          </w:tcPr>
          <w:p>
            <w:pPr>
              <w:numPr>
                <w:ilvl w:val="0"/>
                <w:numId w:val="1"/>
              </w:numPr>
              <w:adjustRightInd w:val="0"/>
              <w:snapToGrid w:val="0"/>
              <w:jc w:val="center"/>
              <w:rPr>
                <w:rFonts w:hint="default" w:ascii="Times New Roman" w:hAnsi="Times New Roman" w:cs="Times New Roman"/>
                <w:szCs w:val="21"/>
              </w:rPr>
            </w:pPr>
          </w:p>
        </w:tc>
        <w:tc>
          <w:tcPr>
            <w:tcW w:w="2279"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苯乙烯和乙苯残留量</w:t>
            </w:r>
          </w:p>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（限PS材质)</w:t>
            </w:r>
          </w:p>
        </w:tc>
        <w:tc>
          <w:tcPr>
            <w:tcW w:w="2313"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GB 31604.16—2016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exact"/>
          <w:jc w:val="center"/>
        </w:trPr>
        <w:tc>
          <w:tcPr>
            <w:tcW w:w="407" w:type="pct"/>
            <w:vAlign w:val="center"/>
          </w:tcPr>
          <w:p>
            <w:pPr>
              <w:numPr>
                <w:ilvl w:val="0"/>
                <w:numId w:val="1"/>
              </w:numPr>
              <w:adjustRightInd w:val="0"/>
              <w:snapToGrid w:val="0"/>
              <w:jc w:val="center"/>
              <w:rPr>
                <w:rFonts w:hint="default" w:ascii="Times New Roman" w:hAnsi="Times New Roman" w:cs="Times New Roman"/>
                <w:szCs w:val="21"/>
              </w:rPr>
            </w:pPr>
          </w:p>
        </w:tc>
        <w:tc>
          <w:tcPr>
            <w:tcW w:w="2279" w:type="pct"/>
            <w:vAlign w:val="center"/>
          </w:tcPr>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邻苯类增塑剂特定迁移量</w:t>
            </w:r>
          </w:p>
          <w:p>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（限PVC材质）</w:t>
            </w:r>
          </w:p>
        </w:tc>
        <w:tc>
          <w:tcPr>
            <w:tcW w:w="2313" w:type="pct"/>
            <w:vAlign w:val="center"/>
          </w:tcPr>
          <w:p>
            <w:pPr>
              <w:adjustRightInd w:val="0"/>
              <w:snapToGrid w:val="0"/>
              <w:jc w:val="center"/>
              <w:rPr>
                <w:rFonts w:hint="default" w:ascii="Times New Roman" w:hAnsi="Times New Roman" w:cs="Times New Roman"/>
                <w:szCs w:val="21"/>
                <w:lang w:val="en-US" w:eastAsia="zh-CN"/>
              </w:rPr>
            </w:pPr>
            <w:r>
              <w:rPr>
                <w:rFonts w:hint="default" w:ascii="Times New Roman" w:hAnsi="Times New Roman" w:cs="Times New Roman"/>
                <w:szCs w:val="21"/>
              </w:rPr>
              <w:t>GB 31604.30—20</w:t>
            </w:r>
            <w:r>
              <w:rPr>
                <w:rFonts w:hint="eastAsia" w:ascii="Times New Roman" w:hAnsi="Times New Roman" w:cs="Times New Roman"/>
                <w:szCs w:val="21"/>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exact"/>
          <w:jc w:val="center"/>
        </w:trPr>
        <w:tc>
          <w:tcPr>
            <w:tcW w:w="407" w:type="pct"/>
            <w:vAlign w:val="center"/>
          </w:tcPr>
          <w:p>
            <w:pPr>
              <w:numPr>
                <w:ilvl w:val="0"/>
                <w:numId w:val="1"/>
              </w:numPr>
              <w:adjustRightInd w:val="0"/>
              <w:snapToGrid w:val="0"/>
              <w:jc w:val="center"/>
              <w:rPr>
                <w:rFonts w:hint="default" w:ascii="Times New Roman" w:hAnsi="Times New Roman" w:cs="Times New Roman"/>
                <w:szCs w:val="21"/>
              </w:rPr>
            </w:pPr>
          </w:p>
        </w:tc>
        <w:tc>
          <w:tcPr>
            <w:tcW w:w="2279" w:type="pct"/>
            <w:vAlign w:val="center"/>
          </w:tcPr>
          <w:p>
            <w:pPr>
              <w:adjustRightInd w:val="0"/>
              <w:snapToGrid w:val="0"/>
              <w:jc w:val="center"/>
              <w:rPr>
                <w:rFonts w:hint="default" w:ascii="Times New Roman" w:hAnsi="Times New Roman" w:cs="Times New Roman"/>
                <w:szCs w:val="21"/>
              </w:rPr>
            </w:pPr>
            <w:r>
              <w:rPr>
                <w:rFonts w:hint="eastAsia" w:ascii="Times New Roman" w:hAnsi="Times New Roman" w:cs="宋体"/>
                <w:color w:val="000000"/>
              </w:rPr>
              <w:t>淀粉含量（适用于淀粉基塑料一次性餐饮具）</w:t>
            </w:r>
          </w:p>
        </w:tc>
        <w:tc>
          <w:tcPr>
            <w:tcW w:w="2313" w:type="pct"/>
            <w:shd w:val="clear" w:color="auto" w:fill="auto"/>
            <w:vAlign w:val="center"/>
          </w:tcPr>
          <w:p>
            <w:pPr>
              <w:adjustRightInd w:val="0"/>
              <w:snapToGrid w:val="0"/>
              <w:jc w:val="center"/>
              <w:rPr>
                <w:rFonts w:hint="default" w:ascii="Times New Roman" w:hAnsi="Times New Roman" w:cs="Times New Roman"/>
                <w:szCs w:val="21"/>
                <w:lang w:val="en-US" w:eastAsia="zh-CN"/>
              </w:rPr>
            </w:pPr>
            <w:r>
              <w:rPr>
                <w:rFonts w:hint="default" w:ascii="Times New Roman" w:hAnsi="Times New Roman" w:cs="Times New Roman"/>
                <w:szCs w:val="21"/>
              </w:rPr>
              <w:t>QB/T 2957-2008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exact"/>
          <w:jc w:val="center"/>
        </w:trPr>
        <w:tc>
          <w:tcPr>
            <w:tcW w:w="407" w:type="pct"/>
            <w:vAlign w:val="center"/>
          </w:tcPr>
          <w:p>
            <w:pPr>
              <w:numPr>
                <w:ilvl w:val="0"/>
                <w:numId w:val="1"/>
              </w:numPr>
              <w:adjustRightInd w:val="0"/>
              <w:snapToGrid w:val="0"/>
              <w:jc w:val="center"/>
              <w:rPr>
                <w:rFonts w:hint="default" w:ascii="Times New Roman" w:hAnsi="Times New Roman" w:cs="Times New Roman"/>
                <w:szCs w:val="21"/>
              </w:rPr>
            </w:pPr>
          </w:p>
        </w:tc>
        <w:tc>
          <w:tcPr>
            <w:tcW w:w="2279" w:type="pct"/>
            <w:vAlign w:val="center"/>
          </w:tcPr>
          <w:p>
            <w:pPr>
              <w:adjustRightInd w:val="0"/>
              <w:snapToGrid w:val="0"/>
              <w:jc w:val="center"/>
              <w:rPr>
                <w:rFonts w:hint="default" w:ascii="Times New Roman" w:hAnsi="Times New Roman" w:cs="Times New Roman"/>
                <w:szCs w:val="21"/>
              </w:rPr>
            </w:pPr>
            <w:r>
              <w:rPr>
                <w:rFonts w:hint="eastAsia" w:ascii="Times New Roman" w:hAnsi="Times New Roman" w:cs="宋体"/>
                <w:color w:val="000000"/>
              </w:rPr>
              <w:t>微波炉高频加热性能</w:t>
            </w:r>
          </w:p>
        </w:tc>
        <w:tc>
          <w:tcPr>
            <w:tcW w:w="2313" w:type="pct"/>
            <w:shd w:val="clear" w:color="auto" w:fill="auto"/>
            <w:vAlign w:val="center"/>
          </w:tcPr>
          <w:p>
            <w:pPr>
              <w:adjustRightInd w:val="0"/>
              <w:snapToGrid w:val="0"/>
              <w:jc w:val="center"/>
              <w:rPr>
                <w:rFonts w:hint="default" w:ascii="Times New Roman" w:hAnsi="Times New Roman" w:cs="Times New Roman"/>
                <w:szCs w:val="21"/>
                <w:lang w:val="en-US" w:eastAsia="zh-CN"/>
              </w:rPr>
            </w:pPr>
            <w:r>
              <w:rPr>
                <w:rFonts w:hint="default" w:ascii="Times New Roman" w:hAnsi="Times New Roman" w:cs="Times New Roman"/>
                <w:szCs w:val="21"/>
              </w:rPr>
              <w:t>GB</w:t>
            </w:r>
            <w:r>
              <w:rPr>
                <w:rFonts w:hint="eastAsia" w:ascii="Times New Roman" w:hAnsi="Times New Roman" w:cs="Times New Roman"/>
                <w:szCs w:val="21"/>
              </w:rPr>
              <w:t xml:space="preserve">/T </w:t>
            </w:r>
            <w:r>
              <w:rPr>
                <w:rFonts w:hint="default" w:ascii="Times New Roman" w:hAnsi="Times New Roman" w:cs="Times New Roman"/>
                <w:szCs w:val="21"/>
              </w:rPr>
              <w:t>18006.1-2009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exact"/>
          <w:jc w:val="center"/>
        </w:trPr>
        <w:tc>
          <w:tcPr>
            <w:tcW w:w="407" w:type="pct"/>
            <w:vAlign w:val="center"/>
          </w:tcPr>
          <w:p>
            <w:pPr>
              <w:numPr>
                <w:ilvl w:val="0"/>
                <w:numId w:val="1"/>
              </w:numPr>
              <w:adjustRightInd w:val="0"/>
              <w:snapToGrid w:val="0"/>
              <w:jc w:val="center"/>
              <w:rPr>
                <w:rFonts w:hint="default" w:ascii="Times New Roman" w:hAnsi="Times New Roman" w:cs="Times New Roman"/>
                <w:szCs w:val="21"/>
              </w:rPr>
            </w:pPr>
          </w:p>
        </w:tc>
        <w:tc>
          <w:tcPr>
            <w:tcW w:w="2279" w:type="pct"/>
            <w:vAlign w:val="center"/>
          </w:tcPr>
          <w:p>
            <w:pPr>
              <w:adjustRightInd w:val="0"/>
              <w:snapToGrid w:val="0"/>
              <w:jc w:val="center"/>
              <w:rPr>
                <w:rFonts w:hint="default" w:ascii="Times New Roman" w:hAnsi="Times New Roman" w:cs="Times New Roman"/>
                <w:szCs w:val="21"/>
              </w:rPr>
            </w:pPr>
            <w:r>
              <w:rPr>
                <w:rFonts w:hint="eastAsia" w:ascii="Times New Roman" w:hAnsi="Times New Roman" w:cs="宋体"/>
                <w:color w:val="000000"/>
              </w:rPr>
              <w:t>微波炉耐温性</w:t>
            </w:r>
          </w:p>
        </w:tc>
        <w:tc>
          <w:tcPr>
            <w:tcW w:w="2313" w:type="pct"/>
            <w:shd w:val="clear" w:color="auto" w:fill="auto"/>
            <w:vAlign w:val="center"/>
          </w:tcPr>
          <w:p>
            <w:pPr>
              <w:adjustRightInd w:val="0"/>
              <w:snapToGrid w:val="0"/>
              <w:jc w:val="center"/>
              <w:rPr>
                <w:rFonts w:hint="default" w:ascii="Times New Roman" w:hAnsi="Times New Roman" w:cs="Times New Roman"/>
                <w:szCs w:val="21"/>
                <w:lang w:val="en-US" w:eastAsia="zh-CN"/>
              </w:rPr>
            </w:pPr>
            <w:r>
              <w:rPr>
                <w:rFonts w:hint="default" w:ascii="Times New Roman" w:hAnsi="Times New Roman" w:cs="Times New Roman"/>
                <w:szCs w:val="21"/>
              </w:rPr>
              <w:t>GB</w:t>
            </w:r>
            <w:r>
              <w:rPr>
                <w:rFonts w:hint="eastAsia" w:ascii="Times New Roman" w:hAnsi="Times New Roman" w:cs="Times New Roman"/>
                <w:szCs w:val="21"/>
              </w:rPr>
              <w:t xml:space="preserve">/T </w:t>
            </w:r>
            <w:r>
              <w:rPr>
                <w:rFonts w:hint="default" w:ascii="Times New Roman" w:hAnsi="Times New Roman" w:cs="Times New Roman"/>
                <w:szCs w:val="21"/>
              </w:rPr>
              <w:t>18006.1-2009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0" w:hRule="exact"/>
          <w:jc w:val="center"/>
        </w:trPr>
        <w:tc>
          <w:tcPr>
            <w:tcW w:w="5000" w:type="pct"/>
            <w:gridSpan w:val="3"/>
          </w:tcPr>
          <w:p>
            <w:pPr>
              <w:adjustRightInd w:val="0"/>
              <w:snapToGrid w:val="0"/>
              <w:jc w:val="left"/>
              <w:rPr>
                <w:rFonts w:hint="default" w:ascii="Times New Roman" w:hAnsi="Times New Roman" w:cs="Times New Roman"/>
                <w:color w:val="000000"/>
              </w:rPr>
            </w:pPr>
            <w:r>
              <w:rPr>
                <w:rFonts w:hint="default" w:ascii="Times New Roman" w:hAnsi="Times New Roman" w:cs="Times New Roman"/>
                <w:color w:val="000000"/>
              </w:rPr>
              <w:t>注：1.高锰酸钾消耗量不适用于执行标准为GB 4806.7</w:t>
            </w:r>
            <w:r>
              <w:rPr>
                <w:rFonts w:hint="default" w:ascii="Times New Roman" w:hAnsi="Times New Roman" w:cs="Times New Roman"/>
                <w:szCs w:val="21"/>
              </w:rPr>
              <w:t>—</w:t>
            </w:r>
            <w:r>
              <w:rPr>
                <w:rFonts w:hint="default" w:ascii="Times New Roman" w:hAnsi="Times New Roman" w:cs="Times New Roman"/>
                <w:color w:val="000000"/>
              </w:rPr>
              <w:t>2023中的淀粉含量≥40%的淀粉基塑料材料及制品。</w:t>
            </w:r>
          </w:p>
          <w:p>
            <w:pPr>
              <w:adjustRightInd w:val="0"/>
              <w:snapToGrid w:val="0"/>
              <w:jc w:val="left"/>
              <w:rPr>
                <w:rFonts w:hint="default" w:ascii="Times New Roman" w:hAnsi="Times New Roman" w:cs="Times New Roman"/>
                <w:color w:val="000000"/>
              </w:rPr>
            </w:pPr>
            <w:r>
              <w:rPr>
                <w:rFonts w:hint="default" w:ascii="Times New Roman" w:hAnsi="Times New Roman" w:cs="Times New Roman"/>
                <w:color w:val="000000"/>
                <w:szCs w:val="21"/>
              </w:rPr>
              <w:t>2.</w:t>
            </w:r>
            <w:r>
              <w:rPr>
                <w:rFonts w:hint="default" w:ascii="Times New Roman" w:hAnsi="Times New Roman" w:cs="Times New Roman"/>
                <w:color w:val="000000"/>
              </w:rPr>
              <w:t>芳香族伯胺迁移总量适用于执行标准为GB 4806.7</w:t>
            </w:r>
            <w:r>
              <w:rPr>
                <w:rFonts w:hint="default" w:ascii="Times New Roman" w:hAnsi="Times New Roman" w:cs="Times New Roman"/>
                <w:szCs w:val="21"/>
              </w:rPr>
              <w:t>—</w:t>
            </w:r>
            <w:r>
              <w:rPr>
                <w:rFonts w:hint="default" w:ascii="Times New Roman" w:hAnsi="Times New Roman" w:cs="Times New Roman"/>
                <w:color w:val="000000"/>
              </w:rPr>
              <w:t>2023，且含有芳香族异氰酸酯和偶氮类着色剂等可能产生芳香族伯胺类物质的产品。</w:t>
            </w:r>
          </w:p>
          <w:p>
            <w:pPr>
              <w:adjustRightInd w:val="0"/>
              <w:snapToGrid w:val="0"/>
              <w:jc w:val="left"/>
              <w:rPr>
                <w:rFonts w:hint="default" w:ascii="Times New Roman" w:hAnsi="Times New Roman" w:cs="Times New Roman"/>
                <w:color w:val="000000"/>
              </w:rPr>
            </w:pPr>
            <w:r>
              <w:rPr>
                <w:rFonts w:hint="default" w:ascii="Times New Roman" w:hAnsi="Times New Roman" w:cs="Times New Roman"/>
                <w:color w:val="000000"/>
              </w:rPr>
              <w:t>3. 脱色试验仅适用于添加了着色剂的产品。</w:t>
            </w:r>
          </w:p>
          <w:p>
            <w:pPr>
              <w:adjustRightInd w:val="0"/>
              <w:snapToGrid w:val="0"/>
              <w:jc w:val="left"/>
              <w:rPr>
                <w:rFonts w:hint="default" w:ascii="Times New Roman" w:hAnsi="Times New Roman" w:cs="Times New Roman"/>
                <w:color w:val="000000"/>
              </w:rPr>
            </w:pPr>
            <w:r>
              <w:rPr>
                <w:rFonts w:hint="eastAsia" w:cs="Times New Roman"/>
                <w:color w:val="000000"/>
                <w:lang w:val="en-US" w:eastAsia="zh-CN"/>
              </w:rPr>
              <w:t>4. 执行</w:t>
            </w:r>
            <w:r>
              <w:rPr>
                <w:rFonts w:hint="default" w:ascii="Times New Roman" w:hAnsi="Times New Roman" w:cs="Times New Roman"/>
              </w:rPr>
              <w:fldChar w:fldCharType="begin"/>
            </w:r>
            <w:r>
              <w:rPr>
                <w:rFonts w:hint="default" w:ascii="Times New Roman" w:hAnsi="Times New Roman" w:cs="Times New Roman"/>
              </w:rPr>
              <w:instrText xml:space="preserve"> HYPERLINK "http://www.bzsb.info/javascript:void(0);" </w:instrText>
            </w:r>
            <w:r>
              <w:rPr>
                <w:rFonts w:hint="default" w:ascii="Times New Roman" w:hAnsi="Times New Roman" w:cs="Times New Roman"/>
              </w:rPr>
              <w:fldChar w:fldCharType="separate"/>
            </w:r>
            <w:r>
              <w:rPr>
                <w:rFonts w:hint="default" w:ascii="Times New Roman" w:hAnsi="Times New Roman" w:cs="Times New Roman"/>
                <w:szCs w:val="21"/>
              </w:rPr>
              <w:t>GB/T 18006.1—20</w:t>
            </w:r>
            <w:r>
              <w:rPr>
                <w:rFonts w:hint="eastAsia" w:cs="Times New Roman"/>
                <w:szCs w:val="21"/>
                <w:lang w:val="en-US" w:eastAsia="zh-CN"/>
              </w:rPr>
              <w:t>2</w:t>
            </w:r>
            <w:r>
              <w:rPr>
                <w:rFonts w:hint="default" w:ascii="Times New Roman" w:hAnsi="Times New Roman" w:cs="Times New Roman"/>
                <w:szCs w:val="21"/>
              </w:rPr>
              <w:fldChar w:fldCharType="end"/>
            </w:r>
            <w:r>
              <w:rPr>
                <w:rFonts w:hint="eastAsia" w:cs="Times New Roman"/>
                <w:szCs w:val="21"/>
                <w:lang w:val="en-US" w:eastAsia="zh-CN"/>
              </w:rPr>
              <w:t>5</w:t>
            </w:r>
            <w:r>
              <w:rPr>
                <w:rFonts w:hint="default" w:ascii="Times New Roman" w:hAnsi="Times New Roman" w:cs="Times New Roman"/>
              </w:rPr>
              <w:t xml:space="preserve"> </w:t>
            </w:r>
            <w:r>
              <w:rPr>
                <w:rFonts w:hint="eastAsia" w:cs="Times New Roman"/>
                <w:lang w:eastAsia="zh-CN"/>
              </w:rPr>
              <w:t>《</w:t>
            </w:r>
            <w:r>
              <w:rPr>
                <w:rFonts w:hint="default" w:ascii="Times New Roman" w:hAnsi="Times New Roman" w:cs="Times New Roman"/>
                <w:szCs w:val="21"/>
              </w:rPr>
              <w:t>塑料一次性餐饮具通用技术要求</w:t>
            </w:r>
            <w:r>
              <w:rPr>
                <w:rFonts w:hint="eastAsia" w:cs="Times New Roman"/>
                <w:lang w:eastAsia="zh-CN"/>
              </w:rPr>
              <w:t>》</w:t>
            </w:r>
            <w:r>
              <w:rPr>
                <w:rFonts w:hint="eastAsia" w:cs="Times New Roman"/>
                <w:szCs w:val="21"/>
                <w:lang w:val="en-US" w:eastAsia="zh-CN"/>
              </w:rPr>
              <w:t>不测</w:t>
            </w:r>
            <w:r>
              <w:rPr>
                <w:rFonts w:hint="default" w:ascii="Times New Roman" w:hAnsi="Times New Roman" w:cs="Times New Roman"/>
                <w:szCs w:val="21"/>
              </w:rPr>
              <w:t>大肠菌群</w:t>
            </w:r>
            <w:r>
              <w:rPr>
                <w:rFonts w:hint="eastAsia" w:cs="Times New Roman"/>
                <w:szCs w:val="21"/>
                <w:lang w:eastAsia="zh-CN"/>
              </w:rPr>
              <w:t>、</w:t>
            </w:r>
            <w:r>
              <w:rPr>
                <w:rFonts w:hint="default" w:ascii="Times New Roman" w:hAnsi="Times New Roman" w:cs="Times New Roman"/>
                <w:szCs w:val="21"/>
              </w:rPr>
              <w:t>沙门氏菌</w:t>
            </w:r>
            <w:r>
              <w:rPr>
                <w:rFonts w:hint="eastAsia" w:cs="Times New Roman"/>
                <w:szCs w:val="21"/>
                <w:lang w:eastAsia="zh-CN"/>
              </w:rPr>
              <w:t>、</w:t>
            </w:r>
            <w:r>
              <w:rPr>
                <w:rFonts w:hint="eastAsia" w:cs="Times New Roman"/>
                <w:szCs w:val="21"/>
                <w:lang w:val="en-US" w:eastAsia="zh-CN"/>
              </w:rPr>
              <w:t>霉菌。</w:t>
            </w:r>
          </w:p>
        </w:tc>
      </w:tr>
    </w:tbl>
    <w:p>
      <w:pPr>
        <w:adjustRightInd w:val="0"/>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执行企业标准、团体标准、地方标准的产品，检验项目参照上述内容执行。</w:t>
      </w:r>
    </w:p>
    <w:bookmarkEnd w:id="1"/>
    <w:p>
      <w:pPr>
        <w:snapToGrid w:val="0"/>
        <w:spacing w:line="440" w:lineRule="exact"/>
        <w:ind w:firstLine="359" w:firstLineChars="171"/>
        <w:rPr>
          <w:rFonts w:hint="default" w:ascii="Times New Roman" w:hAnsi="Times New Roman" w:cs="Times New Roman"/>
          <w:color w:val="000000"/>
          <w:szCs w:val="21"/>
        </w:rPr>
      </w:pPr>
      <w:r>
        <w:rPr>
          <w:rFonts w:hint="default" w:ascii="Times New Roman" w:hAnsi="Times New Roman" w:cs="Times New Roman"/>
          <w:color w:val="000000"/>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rFonts w:hint="default" w:ascii="Times New Roman" w:hAnsi="Times New Roman" w:eastAsia="黑体" w:cs="Times New Roman"/>
          <w:szCs w:val="21"/>
        </w:rPr>
      </w:pPr>
    </w:p>
    <w:p>
      <w:pPr>
        <w:adjustRightInd w:val="0"/>
        <w:snapToGrid w:val="0"/>
        <w:spacing w:line="440" w:lineRule="exact"/>
        <w:outlineLvl w:val="1"/>
        <w:rPr>
          <w:rFonts w:hint="default" w:ascii="Times New Roman" w:hAnsi="Times New Roman" w:eastAsia="黑体" w:cs="Times New Roman"/>
          <w:szCs w:val="21"/>
        </w:rPr>
      </w:pPr>
      <w:r>
        <w:rPr>
          <w:rFonts w:hint="default" w:ascii="Times New Roman" w:hAnsi="Times New Roman" w:eastAsia="黑体" w:cs="Times New Roman"/>
          <w:szCs w:val="21"/>
        </w:rPr>
        <w:t>3 判定规则</w:t>
      </w:r>
    </w:p>
    <w:p>
      <w:pPr>
        <w:adjustRightInd w:val="0"/>
        <w:snapToGrid w:val="0"/>
        <w:spacing w:line="440" w:lineRule="exact"/>
        <w:rPr>
          <w:rFonts w:hint="default" w:ascii="Times New Roman" w:hAnsi="Times New Roman" w:cs="Times New Roman"/>
          <w:color w:val="000000"/>
          <w:szCs w:val="21"/>
        </w:rPr>
      </w:pPr>
      <w:r>
        <w:rPr>
          <w:rFonts w:hint="default" w:ascii="Times New Roman" w:hAnsi="Times New Roman" w:cs="Times New Roman"/>
          <w:color w:val="000000"/>
          <w:szCs w:val="21"/>
        </w:rPr>
        <w:t>3.1依据标准</w:t>
      </w:r>
    </w:p>
    <w:p>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 4806.7—2023 食品安全国家标准 食品接触用塑料材料及制品</w:t>
      </w:r>
    </w:p>
    <w:p>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 9685—2016 食品安全国家标准 食品接触材料及制品用添加剂使用标准</w:t>
      </w:r>
    </w:p>
    <w:p>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 14934—2016 食品安全国家标准 消毒餐(饮)具</w:t>
      </w:r>
    </w:p>
    <w:p>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"http://www.bzsb.info/javascript:void(0);" </w:instrText>
      </w:r>
      <w:r>
        <w:rPr>
          <w:rFonts w:hint="default" w:ascii="Times New Roman" w:hAnsi="Times New Roman" w:cs="Times New Roman"/>
        </w:rPr>
        <w:fldChar w:fldCharType="separate"/>
      </w:r>
      <w:r>
        <w:rPr>
          <w:rFonts w:hint="default" w:ascii="Times New Roman" w:hAnsi="Times New Roman" w:cs="Times New Roman"/>
          <w:szCs w:val="21"/>
        </w:rPr>
        <w:t>GB/T 18006.1—2009</w:t>
      </w:r>
      <w:r>
        <w:rPr>
          <w:rFonts w:hint="default" w:ascii="Times New Roman" w:hAnsi="Times New Roman" w:cs="Times New Roman"/>
          <w:szCs w:val="21"/>
        </w:rPr>
        <w:fldChar w:fldCharType="end"/>
      </w:r>
      <w:r>
        <w:rPr>
          <w:rFonts w:hint="default" w:ascii="Times New Roman" w:hAnsi="Times New Roman" w:cs="Times New Roman"/>
        </w:rPr>
        <w:t xml:space="preserve"> </w:t>
      </w:r>
      <w:r>
        <w:rPr>
          <w:rFonts w:hint="default" w:ascii="Times New Roman" w:hAnsi="Times New Roman" w:cs="Times New Roman"/>
          <w:szCs w:val="21"/>
        </w:rPr>
        <w:t>塑料一次性餐饮具通用技术要求</w:t>
      </w:r>
    </w:p>
    <w:p>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rPr>
        <w:fldChar w:fldCharType="begin"/>
      </w:r>
      <w:r>
        <w:rPr>
          <w:rFonts w:hint="default" w:ascii="Times New Roman" w:hAnsi="Times New Roman" w:cs="Times New Roman"/>
        </w:rPr>
        <w:instrText xml:space="preserve"> HYPERLINK "http://www.bzsb.info/javascript:void(0);" </w:instrText>
      </w:r>
      <w:r>
        <w:rPr>
          <w:rFonts w:hint="default" w:ascii="Times New Roman" w:hAnsi="Times New Roman" w:cs="Times New Roman"/>
        </w:rPr>
        <w:fldChar w:fldCharType="separate"/>
      </w:r>
      <w:r>
        <w:rPr>
          <w:rFonts w:hint="default" w:ascii="Times New Roman" w:hAnsi="Times New Roman" w:cs="Times New Roman"/>
          <w:szCs w:val="21"/>
        </w:rPr>
        <w:t>GB/T 18006.1—20</w:t>
      </w:r>
      <w:r>
        <w:rPr>
          <w:rFonts w:hint="eastAsia" w:cs="Times New Roman"/>
          <w:szCs w:val="21"/>
          <w:lang w:val="en-US" w:eastAsia="zh-CN"/>
        </w:rPr>
        <w:t>2</w:t>
      </w:r>
      <w:r>
        <w:rPr>
          <w:rFonts w:hint="default" w:ascii="Times New Roman" w:hAnsi="Times New Roman" w:cs="Times New Roman"/>
          <w:szCs w:val="21"/>
        </w:rPr>
        <w:fldChar w:fldCharType="end"/>
      </w:r>
      <w:r>
        <w:rPr>
          <w:rFonts w:hint="eastAsia" w:cs="Times New Roman"/>
          <w:szCs w:val="21"/>
          <w:lang w:val="en-US" w:eastAsia="zh-CN"/>
        </w:rPr>
        <w:t>5</w:t>
      </w:r>
      <w:r>
        <w:rPr>
          <w:rFonts w:hint="default" w:ascii="Times New Roman" w:hAnsi="Times New Roman" w:cs="Times New Roman"/>
        </w:rPr>
        <w:t xml:space="preserve"> </w:t>
      </w:r>
      <w:r>
        <w:rPr>
          <w:rFonts w:hint="default" w:ascii="Times New Roman" w:hAnsi="Times New Roman" w:cs="Times New Roman"/>
          <w:szCs w:val="21"/>
        </w:rPr>
        <w:t>塑料一次性餐饮具通用技术要求</w:t>
      </w:r>
    </w:p>
    <w:p>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现行有效的企业标准、团体标准、地方标准及产品明示质量要求</w:t>
      </w:r>
    </w:p>
    <w:p>
      <w:pPr>
        <w:adjustRightInd w:val="0"/>
        <w:snapToGrid w:val="0"/>
        <w:spacing w:line="440" w:lineRule="exact"/>
        <w:rPr>
          <w:rFonts w:hint="default" w:ascii="Times New Roman" w:hAnsi="Times New Roman" w:cs="Times New Roman"/>
          <w:color w:val="000000"/>
          <w:szCs w:val="21"/>
        </w:rPr>
      </w:pPr>
      <w:r>
        <w:rPr>
          <w:rFonts w:hint="default" w:ascii="Times New Roman" w:hAnsi="Times New Roman" w:cs="Times New Roman"/>
          <w:color w:val="000000"/>
          <w:szCs w:val="21"/>
        </w:rPr>
        <w:t>3.2判定原则</w:t>
      </w:r>
    </w:p>
    <w:p>
      <w:pPr>
        <w:adjustRightInd w:val="0"/>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经检验，检验项目全部合格，判定为被抽查产品所检项目未发现不合格；检验项目中任一项或一项以上不合格，判定为被抽查产品不合格。</w:t>
      </w:r>
    </w:p>
    <w:p>
      <w:pPr>
        <w:adjustRightInd w:val="0"/>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若被检产品明示的质量要求高于本细则中检验项目依据的标准要求时，应按被检产品明示的质量要求判定。</w:t>
      </w:r>
    </w:p>
    <w:p>
      <w:pPr>
        <w:adjustRightInd w:val="0"/>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若被检产品明示的质量要求低于本细则中检验项目依据的强制性标准要求时，应按照强制性标准要求判定。</w:t>
      </w:r>
    </w:p>
    <w:p>
      <w:pPr>
        <w:adjustRightInd w:val="0"/>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若被检产品明示的质量要求低于或包含本细则中检验项目依据的推荐性标准要求时，应以被检产品明示的质量要求判定。</w:t>
      </w:r>
    </w:p>
    <w:p>
      <w:pPr>
        <w:adjustRightInd w:val="0"/>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若被检产品明示的质量要求缺少本细则中检验项目依据的强制性标准要求时，应按照强制性标准要求判定。</w:t>
      </w:r>
    </w:p>
    <w:p>
      <w:pPr>
        <w:adjustRightInd w:val="0"/>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若被检产品明示的质量要求缺少本细则中检验项目依据的推荐性标准要求时，该项目不参与判定。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依据GB 4789.1—2016 《食品安全国家标准 食品微生物学检验 总则》第7.3条规定“检验结果报告后，剩余样品和同批产品不进行微生物项目的复检”，微生物指标不合格不进行复检。</w:t>
      </w:r>
    </w:p>
    <w:p>
      <w:pPr>
        <w:adjustRightInd w:val="0"/>
        <w:snapToGrid w:val="0"/>
        <w:spacing w:line="440" w:lineRule="exact"/>
        <w:rPr>
          <w:rFonts w:hint="default" w:ascii="Times New Roman" w:hAnsi="Times New Roman" w:cs="Times New Roman"/>
          <w:color w:val="000000"/>
          <w:szCs w:val="21"/>
        </w:rPr>
      </w:pPr>
    </w:p>
    <w:p>
      <w:pPr>
        <w:adjustRightInd w:val="0"/>
        <w:snapToGrid w:val="0"/>
        <w:spacing w:line="440" w:lineRule="exact"/>
        <w:outlineLvl w:val="1"/>
        <w:rPr>
          <w:rFonts w:hint="default" w:ascii="Times New Roman" w:hAnsi="Times New Roman" w:eastAsia="黑体" w:cs="Times New Roman"/>
          <w:szCs w:val="21"/>
        </w:rPr>
      </w:pPr>
      <w:r>
        <w:rPr>
          <w:rFonts w:hint="default" w:ascii="Times New Roman" w:hAnsi="Times New Roman" w:eastAsia="黑体" w:cs="Times New Roman"/>
          <w:szCs w:val="21"/>
        </w:rPr>
        <w:t>4 附则</w:t>
      </w:r>
    </w:p>
    <w:p>
      <w:pPr>
        <w:adjustRightInd w:val="0"/>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本细则代替《</w:t>
      </w:r>
      <w:r>
        <w:rPr>
          <w:rFonts w:hint="default" w:ascii="Times New Roman" w:hAnsi="Times New Roman" w:cs="Times New Roman"/>
        </w:rPr>
        <w:t>贵州省市场监管局关于发布2025年焦炭等72种产品</w:t>
      </w:r>
      <w:r>
        <w:rPr>
          <w:rFonts w:hint="eastAsia" w:ascii="Times New Roman" w:hAnsi="Times New Roman" w:cs="Times New Roman"/>
          <w:lang w:eastAsia="zh-CN"/>
        </w:rPr>
        <w:t>贵州省产品</w:t>
      </w:r>
      <w:r>
        <w:rPr>
          <w:rFonts w:hint="default" w:ascii="Times New Roman" w:hAnsi="Times New Roman" w:cs="Times New Roman"/>
        </w:rPr>
        <w:t>质量监督抽查实施细则的</w:t>
      </w:r>
      <w:r>
        <w:rPr>
          <w:rFonts w:hint="eastAsia" w:ascii="Times New Roman" w:hAnsi="Times New Roman" w:cs="Times New Roman"/>
          <w:lang w:eastAsia="zh-CN"/>
        </w:rPr>
        <w:t>通</w:t>
      </w:r>
      <w:r>
        <w:rPr>
          <w:rFonts w:hint="default" w:ascii="Times New Roman" w:hAnsi="Times New Roman" w:cs="Times New Roman"/>
        </w:rPr>
        <w:t>告</w:t>
      </w:r>
      <w:r>
        <w:rPr>
          <w:rFonts w:hint="default" w:ascii="Times New Roman" w:hAnsi="Times New Roman" w:cs="Times New Roman"/>
          <w:color w:val="000000"/>
          <w:szCs w:val="21"/>
        </w:rPr>
        <w:t>》中的《贵州省塑料一次性餐饮具产品质量监督抽查实施细则（202</w:t>
      </w:r>
      <w:r>
        <w:rPr>
          <w:rFonts w:hint="eastAsia" w:cs="Times New Roman"/>
          <w:color w:val="000000"/>
          <w:szCs w:val="21"/>
          <w:lang w:val="en-US" w:eastAsia="zh-CN"/>
        </w:rPr>
        <w:t>5</w:t>
      </w:r>
      <w:r>
        <w:rPr>
          <w:rFonts w:hint="default" w:ascii="Times New Roman" w:hAnsi="Times New Roman" w:cs="Times New Roman"/>
          <w:color w:val="000000"/>
          <w:szCs w:val="21"/>
        </w:rPr>
        <w:t>版）》。</w:t>
      </w:r>
    </w:p>
    <w:p>
      <w:pPr>
        <w:adjustRightInd w:val="0"/>
        <w:snapToGrid w:val="0"/>
        <w:spacing w:line="440" w:lineRule="exact"/>
        <w:ind w:firstLine="420" w:firstLineChars="200"/>
        <w:rPr>
          <w:color w:val="000000"/>
          <w:szCs w:val="21"/>
        </w:rPr>
      </w:pPr>
    </w:p>
    <w:sectPr>
      <w:headerReference r:id="rId3" w:type="default"/>
      <w:footerReference r:id="rId4" w:type="default"/>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小标宋_GBK">
    <w:panose1 w:val="02000000000000000000"/>
    <w:charset w:val="86"/>
    <w:family w:val="auto"/>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3</w:t>
    </w:r>
    <w:r>
      <w:rPr>
        <w:sz w:val="21"/>
        <w:szCs w:val="21"/>
        <w:lang w:val="zh-CN"/>
      </w:rPr>
      <w:fldChar w:fldCharType="end"/>
    </w:r>
  </w:p>
  <w:p>
    <w:pPr>
      <w:pStyle w:val="5"/>
      <w:ind w:right="360"/>
    </w:pP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03EADD"/>
    <w:multiLevelType w:val="singleLevel"/>
    <w:tmpl w:val="F303EADD"/>
    <w:lvl w:ilvl="0" w:tentative="0">
      <w:start w:val="1"/>
      <w:numFmt w:val="decimal"/>
      <w:lvlText w:val="%1"/>
      <w:lvlJc w:val="center"/>
      <w:pPr>
        <w:ind w:left="279" w:hanging="137"/>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liODJhNDlmY2NjMmNjNTE4M2VhODIwMTY1NWRkZmIifQ=="/>
  </w:docVars>
  <w:rsids>
    <w:rsidRoot w:val="004E7F45"/>
    <w:rsid w:val="000223BA"/>
    <w:rsid w:val="00025E70"/>
    <w:rsid w:val="00026930"/>
    <w:rsid w:val="000600FC"/>
    <w:rsid w:val="00090BF9"/>
    <w:rsid w:val="000D0B7A"/>
    <w:rsid w:val="000F504B"/>
    <w:rsid w:val="001001F2"/>
    <w:rsid w:val="00111BFA"/>
    <w:rsid w:val="00126B4B"/>
    <w:rsid w:val="0013492D"/>
    <w:rsid w:val="00190058"/>
    <w:rsid w:val="001E7D67"/>
    <w:rsid w:val="001F5300"/>
    <w:rsid w:val="00236FCF"/>
    <w:rsid w:val="00262E0C"/>
    <w:rsid w:val="00263965"/>
    <w:rsid w:val="002917F2"/>
    <w:rsid w:val="002961CD"/>
    <w:rsid w:val="002D072B"/>
    <w:rsid w:val="002D2966"/>
    <w:rsid w:val="002E746B"/>
    <w:rsid w:val="002F1DC7"/>
    <w:rsid w:val="00311B31"/>
    <w:rsid w:val="0033027F"/>
    <w:rsid w:val="00331A97"/>
    <w:rsid w:val="00345C28"/>
    <w:rsid w:val="003D5388"/>
    <w:rsid w:val="003F7705"/>
    <w:rsid w:val="004064D4"/>
    <w:rsid w:val="00421E58"/>
    <w:rsid w:val="0048431A"/>
    <w:rsid w:val="004A6C40"/>
    <w:rsid w:val="004A6CA3"/>
    <w:rsid w:val="004E7F45"/>
    <w:rsid w:val="004F4966"/>
    <w:rsid w:val="0051209D"/>
    <w:rsid w:val="00532F8D"/>
    <w:rsid w:val="0054077C"/>
    <w:rsid w:val="00555E7E"/>
    <w:rsid w:val="00571A64"/>
    <w:rsid w:val="00590F96"/>
    <w:rsid w:val="00593B89"/>
    <w:rsid w:val="00593E67"/>
    <w:rsid w:val="005A736C"/>
    <w:rsid w:val="005E6927"/>
    <w:rsid w:val="0060383C"/>
    <w:rsid w:val="006219F8"/>
    <w:rsid w:val="00646A2D"/>
    <w:rsid w:val="0065579C"/>
    <w:rsid w:val="00677A4D"/>
    <w:rsid w:val="0068760D"/>
    <w:rsid w:val="006B48E8"/>
    <w:rsid w:val="006C56E0"/>
    <w:rsid w:val="007844F1"/>
    <w:rsid w:val="00791A66"/>
    <w:rsid w:val="007978AC"/>
    <w:rsid w:val="007A4F3E"/>
    <w:rsid w:val="007E6AED"/>
    <w:rsid w:val="007F546D"/>
    <w:rsid w:val="0082334C"/>
    <w:rsid w:val="00862859"/>
    <w:rsid w:val="0088588D"/>
    <w:rsid w:val="008A1D26"/>
    <w:rsid w:val="008A34E5"/>
    <w:rsid w:val="008C2AA1"/>
    <w:rsid w:val="008D4A5A"/>
    <w:rsid w:val="00902C4C"/>
    <w:rsid w:val="0091647C"/>
    <w:rsid w:val="009371D2"/>
    <w:rsid w:val="009833AD"/>
    <w:rsid w:val="009A74F5"/>
    <w:rsid w:val="009F1D5A"/>
    <w:rsid w:val="00A04474"/>
    <w:rsid w:val="00A34CC6"/>
    <w:rsid w:val="00A42486"/>
    <w:rsid w:val="00A941B5"/>
    <w:rsid w:val="00A95981"/>
    <w:rsid w:val="00AC1FA9"/>
    <w:rsid w:val="00AD527D"/>
    <w:rsid w:val="00AE0D56"/>
    <w:rsid w:val="00AF34B8"/>
    <w:rsid w:val="00AF3B5B"/>
    <w:rsid w:val="00AF46D5"/>
    <w:rsid w:val="00B24BD0"/>
    <w:rsid w:val="00B4221B"/>
    <w:rsid w:val="00B44E4C"/>
    <w:rsid w:val="00B61C35"/>
    <w:rsid w:val="00B942CB"/>
    <w:rsid w:val="00BA4D5F"/>
    <w:rsid w:val="00BA5623"/>
    <w:rsid w:val="00BB1D93"/>
    <w:rsid w:val="00BC2935"/>
    <w:rsid w:val="00BE1502"/>
    <w:rsid w:val="00C2557D"/>
    <w:rsid w:val="00C25CB5"/>
    <w:rsid w:val="00C25F33"/>
    <w:rsid w:val="00C268BC"/>
    <w:rsid w:val="00C3154A"/>
    <w:rsid w:val="00C37F41"/>
    <w:rsid w:val="00C50932"/>
    <w:rsid w:val="00C87D52"/>
    <w:rsid w:val="00CE4FD7"/>
    <w:rsid w:val="00CE5418"/>
    <w:rsid w:val="00D10BD4"/>
    <w:rsid w:val="00D541C8"/>
    <w:rsid w:val="00D5626E"/>
    <w:rsid w:val="00D74690"/>
    <w:rsid w:val="00D867EF"/>
    <w:rsid w:val="00D92B63"/>
    <w:rsid w:val="00D9409B"/>
    <w:rsid w:val="00DA4552"/>
    <w:rsid w:val="00DA52B0"/>
    <w:rsid w:val="00DE0346"/>
    <w:rsid w:val="00DF15F6"/>
    <w:rsid w:val="00DF4DCE"/>
    <w:rsid w:val="00E26257"/>
    <w:rsid w:val="00E84E16"/>
    <w:rsid w:val="00E864B9"/>
    <w:rsid w:val="00E93AD3"/>
    <w:rsid w:val="00E96ACA"/>
    <w:rsid w:val="00EB3B67"/>
    <w:rsid w:val="00EE0DA2"/>
    <w:rsid w:val="00F07ACA"/>
    <w:rsid w:val="00F14A6A"/>
    <w:rsid w:val="00F15254"/>
    <w:rsid w:val="00F2567C"/>
    <w:rsid w:val="00F76949"/>
    <w:rsid w:val="00F85554"/>
    <w:rsid w:val="00F94DCB"/>
    <w:rsid w:val="00FA38C3"/>
    <w:rsid w:val="00FE325F"/>
    <w:rsid w:val="00FF2630"/>
    <w:rsid w:val="01A131C3"/>
    <w:rsid w:val="01FB18B7"/>
    <w:rsid w:val="024B3ED5"/>
    <w:rsid w:val="032C2CC0"/>
    <w:rsid w:val="050161E5"/>
    <w:rsid w:val="05545442"/>
    <w:rsid w:val="056915AB"/>
    <w:rsid w:val="057B705B"/>
    <w:rsid w:val="07555753"/>
    <w:rsid w:val="09837BF5"/>
    <w:rsid w:val="0CA16AA5"/>
    <w:rsid w:val="0D5E33E4"/>
    <w:rsid w:val="10E96DCA"/>
    <w:rsid w:val="11A97B1A"/>
    <w:rsid w:val="12EE04EB"/>
    <w:rsid w:val="142E2B41"/>
    <w:rsid w:val="146050F4"/>
    <w:rsid w:val="15097FDB"/>
    <w:rsid w:val="150E1C7B"/>
    <w:rsid w:val="15326481"/>
    <w:rsid w:val="15861A43"/>
    <w:rsid w:val="15F1076B"/>
    <w:rsid w:val="17EFB53A"/>
    <w:rsid w:val="188E1215"/>
    <w:rsid w:val="18B11774"/>
    <w:rsid w:val="1A9221AF"/>
    <w:rsid w:val="1BDD60C2"/>
    <w:rsid w:val="1C0559C8"/>
    <w:rsid w:val="1DCA3D55"/>
    <w:rsid w:val="1E1060D3"/>
    <w:rsid w:val="1E3265FA"/>
    <w:rsid w:val="1FE932D4"/>
    <w:rsid w:val="1FF041AE"/>
    <w:rsid w:val="1FFE717E"/>
    <w:rsid w:val="20055C73"/>
    <w:rsid w:val="20076CF3"/>
    <w:rsid w:val="201C0001"/>
    <w:rsid w:val="204E7819"/>
    <w:rsid w:val="20A372F0"/>
    <w:rsid w:val="20CB4BB3"/>
    <w:rsid w:val="213E16CC"/>
    <w:rsid w:val="216F55CD"/>
    <w:rsid w:val="21F07040"/>
    <w:rsid w:val="22902033"/>
    <w:rsid w:val="22F14622"/>
    <w:rsid w:val="23997488"/>
    <w:rsid w:val="24744770"/>
    <w:rsid w:val="249267E9"/>
    <w:rsid w:val="276B0F6B"/>
    <w:rsid w:val="279F001E"/>
    <w:rsid w:val="27B619BA"/>
    <w:rsid w:val="29370BA0"/>
    <w:rsid w:val="2A9653EA"/>
    <w:rsid w:val="2AF0519A"/>
    <w:rsid w:val="2B3505C9"/>
    <w:rsid w:val="2B7251A1"/>
    <w:rsid w:val="2BFB407B"/>
    <w:rsid w:val="2D0F3610"/>
    <w:rsid w:val="2DAF6AA4"/>
    <w:rsid w:val="2E447434"/>
    <w:rsid w:val="2EF683CC"/>
    <w:rsid w:val="2F7470F0"/>
    <w:rsid w:val="308630DB"/>
    <w:rsid w:val="310877D6"/>
    <w:rsid w:val="31996818"/>
    <w:rsid w:val="322F25BC"/>
    <w:rsid w:val="3282567F"/>
    <w:rsid w:val="32AF1344"/>
    <w:rsid w:val="337C71E2"/>
    <w:rsid w:val="33ED6206"/>
    <w:rsid w:val="345E6417"/>
    <w:rsid w:val="348A3282"/>
    <w:rsid w:val="35D82F96"/>
    <w:rsid w:val="3601309E"/>
    <w:rsid w:val="373778B4"/>
    <w:rsid w:val="379D2C7F"/>
    <w:rsid w:val="37A458DA"/>
    <w:rsid w:val="37CF580A"/>
    <w:rsid w:val="384E752E"/>
    <w:rsid w:val="39135CA7"/>
    <w:rsid w:val="394C6EB2"/>
    <w:rsid w:val="3A774A34"/>
    <w:rsid w:val="3AE96DA9"/>
    <w:rsid w:val="3BFA02F7"/>
    <w:rsid w:val="3C7D414C"/>
    <w:rsid w:val="3CC309AB"/>
    <w:rsid w:val="3E780D76"/>
    <w:rsid w:val="3F296B83"/>
    <w:rsid w:val="40F85902"/>
    <w:rsid w:val="42AA28AA"/>
    <w:rsid w:val="43F37E46"/>
    <w:rsid w:val="44123AED"/>
    <w:rsid w:val="44C85855"/>
    <w:rsid w:val="45000F8C"/>
    <w:rsid w:val="45697947"/>
    <w:rsid w:val="47DD19DA"/>
    <w:rsid w:val="48CD242C"/>
    <w:rsid w:val="495F006C"/>
    <w:rsid w:val="496B0759"/>
    <w:rsid w:val="4A6B0188"/>
    <w:rsid w:val="4ABB1D38"/>
    <w:rsid w:val="4C1D7892"/>
    <w:rsid w:val="4D5E548A"/>
    <w:rsid w:val="4E3917D8"/>
    <w:rsid w:val="4EB67BBA"/>
    <w:rsid w:val="4EF318AC"/>
    <w:rsid w:val="50225853"/>
    <w:rsid w:val="50D864D3"/>
    <w:rsid w:val="51086967"/>
    <w:rsid w:val="513F2C99"/>
    <w:rsid w:val="516E4782"/>
    <w:rsid w:val="52F952BE"/>
    <w:rsid w:val="53243C8C"/>
    <w:rsid w:val="534A24ED"/>
    <w:rsid w:val="53AF4999"/>
    <w:rsid w:val="53FA5C1B"/>
    <w:rsid w:val="55675746"/>
    <w:rsid w:val="556E394C"/>
    <w:rsid w:val="55797C08"/>
    <w:rsid w:val="586A7D22"/>
    <w:rsid w:val="59F561A9"/>
    <w:rsid w:val="5A6F5206"/>
    <w:rsid w:val="5DAE5A52"/>
    <w:rsid w:val="5E0D0BDF"/>
    <w:rsid w:val="5F253730"/>
    <w:rsid w:val="5F5D78DC"/>
    <w:rsid w:val="601F0EAE"/>
    <w:rsid w:val="602E7188"/>
    <w:rsid w:val="620675AB"/>
    <w:rsid w:val="622B13D1"/>
    <w:rsid w:val="62AC7955"/>
    <w:rsid w:val="63490652"/>
    <w:rsid w:val="64A86918"/>
    <w:rsid w:val="650E0CE2"/>
    <w:rsid w:val="65CD15D6"/>
    <w:rsid w:val="68A869C0"/>
    <w:rsid w:val="68F93880"/>
    <w:rsid w:val="693C61FA"/>
    <w:rsid w:val="6951565F"/>
    <w:rsid w:val="69552DD1"/>
    <w:rsid w:val="69CB6804"/>
    <w:rsid w:val="6AFD2D4A"/>
    <w:rsid w:val="6BE256D4"/>
    <w:rsid w:val="6C15171F"/>
    <w:rsid w:val="6E083216"/>
    <w:rsid w:val="6E4C73BB"/>
    <w:rsid w:val="6E8A7348"/>
    <w:rsid w:val="6E9256FE"/>
    <w:rsid w:val="6EA70D04"/>
    <w:rsid w:val="6EC5277F"/>
    <w:rsid w:val="6F2B5042"/>
    <w:rsid w:val="6FB64EFB"/>
    <w:rsid w:val="711A28E5"/>
    <w:rsid w:val="71482881"/>
    <w:rsid w:val="71D2493E"/>
    <w:rsid w:val="71DB227A"/>
    <w:rsid w:val="723122EE"/>
    <w:rsid w:val="72794FA7"/>
    <w:rsid w:val="730C2F2A"/>
    <w:rsid w:val="739B5F35"/>
    <w:rsid w:val="741A20CB"/>
    <w:rsid w:val="75762924"/>
    <w:rsid w:val="75FC38B9"/>
    <w:rsid w:val="768A5494"/>
    <w:rsid w:val="775E5F97"/>
    <w:rsid w:val="77854E73"/>
    <w:rsid w:val="78B64F65"/>
    <w:rsid w:val="797E31CB"/>
    <w:rsid w:val="7A277A18"/>
    <w:rsid w:val="7A9A1A11"/>
    <w:rsid w:val="7B9157EC"/>
    <w:rsid w:val="7BB578CB"/>
    <w:rsid w:val="7C3D28A5"/>
    <w:rsid w:val="7C5B0643"/>
    <w:rsid w:val="7E071097"/>
    <w:rsid w:val="7E463F5C"/>
    <w:rsid w:val="7E611631"/>
    <w:rsid w:val="7E6B05F1"/>
    <w:rsid w:val="7E6B3D8A"/>
    <w:rsid w:val="7F666998"/>
    <w:rsid w:val="E9EFF8D4"/>
    <w:rsid w:val="EBE50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0">
    <w:name w:val="Default Paragraph Font"/>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qFormat/>
    <w:uiPriority w:val="99"/>
    <w:pPr>
      <w:jc w:val="left"/>
    </w:pPr>
  </w:style>
  <w:style w:type="paragraph" w:styleId="3">
    <w:name w:val="Body Text Indent"/>
    <w:basedOn w:val="1"/>
    <w:qFormat/>
    <w:uiPriority w:val="0"/>
    <w:pPr>
      <w:ind w:firstLine="600" w:firstLineChars="200"/>
    </w:pPr>
    <w:rPr>
      <w:rFonts w:eastAsia="仿宋_GB2312"/>
      <w:sz w:val="30"/>
      <w:szCs w:val="24"/>
    </w:rPr>
  </w:style>
  <w:style w:type="paragraph" w:styleId="4">
    <w:name w:val="Balloon Text"/>
    <w:basedOn w:val="1"/>
    <w:link w:val="13"/>
    <w:qFormat/>
    <w:uiPriority w:val="0"/>
    <w:rPr>
      <w:sz w:val="18"/>
      <w:szCs w:val="18"/>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4"/>
    <w:qFormat/>
    <w:uiPriority w:val="0"/>
    <w:rPr>
      <w:b/>
      <w:bCs/>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qFormat/>
    <w:uiPriority w:val="0"/>
    <w:rPr>
      <w:sz w:val="21"/>
      <w:szCs w:val="21"/>
    </w:rPr>
  </w:style>
  <w:style w:type="character" w:customStyle="1" w:styleId="12">
    <w:name w:val="批注文字 字符"/>
    <w:link w:val="2"/>
    <w:qFormat/>
    <w:uiPriority w:val="99"/>
    <w:rPr>
      <w:kern w:val="2"/>
      <w:sz w:val="21"/>
      <w:szCs w:val="22"/>
    </w:rPr>
  </w:style>
  <w:style w:type="character" w:customStyle="1" w:styleId="13">
    <w:name w:val="批注框文本 字符"/>
    <w:link w:val="4"/>
    <w:qFormat/>
    <w:uiPriority w:val="0"/>
    <w:rPr>
      <w:kern w:val="2"/>
      <w:sz w:val="18"/>
      <w:szCs w:val="18"/>
    </w:rPr>
  </w:style>
  <w:style w:type="character" w:customStyle="1" w:styleId="14">
    <w:name w:val="批注主题 字符"/>
    <w:link w:val="7"/>
    <w:qFormat/>
    <w:uiPriority w:val="0"/>
  </w:style>
  <w:style w:type="character" w:customStyle="1" w:styleId="15">
    <w:name w:val="fontstyle01"/>
    <w:qFormat/>
    <w:uiPriority w:val="0"/>
    <w:rPr>
      <w:rFonts w:ascii="黑体" w:hAnsi="宋体" w:eastAsia="黑体" w:cs="黑体"/>
      <w:color w:val="000000"/>
      <w:sz w:val="32"/>
      <w:szCs w:val="32"/>
    </w:rPr>
  </w:style>
  <w:style w:type="paragraph" w:customStyle="1" w:styleId="16">
    <w:name w:val="修订1"/>
    <w:unhideWhenUsed/>
    <w:qFormat/>
    <w:uiPriority w:val="99"/>
    <w:rPr>
      <w:rFonts w:ascii="Times New Roman" w:hAnsi="Times New Roman" w:eastAsia="宋体" w:cs="Times New Roman"/>
      <w:kern w:val="2"/>
      <w:sz w:val="21"/>
      <w:szCs w:val="22"/>
      <w:lang w:val="en-US" w:eastAsia="zh-CN" w:bidi="ar-SA"/>
    </w:rPr>
  </w:style>
  <w:style w:type="paragraph" w:customStyle="1" w:styleId="17">
    <w:name w:val="列出段落1"/>
    <w:basedOn w:val="1"/>
    <w:qFormat/>
    <w:uiPriority w:val="34"/>
    <w:pPr>
      <w:ind w:firstLine="420" w:firstLineChars="200"/>
    </w:pPr>
  </w:style>
  <w:style w:type="paragraph" w:customStyle="1" w:styleId="18">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styleId="19">
    <w:name w:val="List Paragraph"/>
    <w:basedOn w:val="1"/>
    <w:qFormat/>
    <w:uiPriority w:val="99"/>
    <w:pPr>
      <w:ind w:firstLine="420" w:firstLineChars="200"/>
    </w:pPr>
  </w:style>
  <w:style w:type="paragraph" w:customStyle="1" w:styleId="20">
    <w:name w:val="Revision"/>
    <w:hidden/>
    <w:unhideWhenUsed/>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1365</Words>
  <Characters>1759</Characters>
  <Lines>14</Lines>
  <Paragraphs>3</Paragraphs>
  <TotalTime>4</TotalTime>
  <ScaleCrop>false</ScaleCrop>
  <LinksUpToDate>false</LinksUpToDate>
  <CharactersWithSpaces>1814</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2019-12-28T03:53:00Z</dcterms:created>
  <dc:creator>wee</dc:creator>
  <cp:lastModifiedBy>ysgz</cp:lastModifiedBy>
  <cp:lastPrinted>2024-03-02T14:25:00Z</cp:lastPrinted>
  <dcterms:modified xsi:type="dcterms:W3CDTF">2026-04-20T17:09:44Z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4CBD88FE8F2C44DBAE9F1135C2873110_13</vt:lpwstr>
  </property>
  <property fmtid="{D5CDD505-2E9C-101B-9397-08002B2CF9AE}" pid="4" name="KSOTemplateDocerSaveRecord">
    <vt:lpwstr>eyJoZGlkIjoiNDNiOGM3Y2MyOGFlZjJlMWRhOWY0MTgxYjJkNGQ1NzciLCJ1c2VySWQiOiI0NTA5MTk5NTIifQ==</vt:lpwstr>
  </property>
</Properties>
</file>